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77785717" w:displacedByCustomXml="next"/>
    <w:sdt>
      <w:sdtPr>
        <w:id w:val="1151953679"/>
        <w:docPartObj>
          <w:docPartGallery w:val="Cover Pages"/>
          <w:docPartUnique/>
        </w:docPartObj>
      </w:sdtPr>
      <w:sdtEndPr>
        <w:rPr>
          <w:rFonts w:ascii="Verdana" w:hAnsi="Verdana" w:cstheme="minorHAnsi"/>
          <w:b/>
          <w:bCs/>
          <w:noProof/>
          <w:color w:val="2E74B5" w:themeColor="accent1" w:themeShade="BF"/>
          <w:sz w:val="32"/>
          <w:szCs w:val="32"/>
          <w:lang w:eastAsia="sk-SK"/>
        </w:rPr>
      </w:sdtEndPr>
      <w:sdtContent>
        <w:p w:rsidR="0088160A" w:rsidRDefault="00217DE8">
          <w:r>
            <w:rPr>
              <w:noProof/>
              <w:lang w:eastAsia="sk-SK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-900430</wp:posOffset>
                </wp:positionH>
                <wp:positionV relativeFrom="page">
                  <wp:posOffset>-15240</wp:posOffset>
                </wp:positionV>
                <wp:extent cx="10692000" cy="7560000"/>
                <wp:effectExtent l="0" t="0" r="0" b="3175"/>
                <wp:wrapNone/>
                <wp:docPr id="22" name="Obrázok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57329708" name="podklad titulka-zlt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2000" cy="75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E36637" w:rsidRDefault="00217DE8" w:rsidP="00D500F0">
          <w:pPr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</w:pPr>
          <w:r w:rsidRPr="0076629D"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  <mc:AlternateContent>
              <mc:Choice Requires="wps">
                <w:drawing>
                  <wp:anchor distT="45720" distB="45720" distL="114300" distR="114300" simplePos="0" relativeHeight="251658240" behindDoc="0" locked="0" layoutInCell="1" allowOverlap="1">
                    <wp:simplePos x="0" y="0"/>
                    <wp:positionH relativeFrom="column">
                      <wp:posOffset>1385570</wp:posOffset>
                    </wp:positionH>
                    <wp:positionV relativeFrom="paragraph">
                      <wp:posOffset>2385695</wp:posOffset>
                    </wp:positionV>
                    <wp:extent cx="6640195" cy="2633980"/>
                    <wp:effectExtent l="0" t="0" r="8255" b="52070"/>
                    <wp:wrapSquare wrapText="bothSides"/>
                    <wp:docPr id="21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40195" cy="26339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76629D" w:rsidRPr="007E04A0" w:rsidRDefault="00217DE8" w:rsidP="007E04A0">
                                <w:pPr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</w:pPr>
                                <w:r w:rsidRPr="009011C3"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  <w:t>Metodický list rozvoja finančnej kultúry pre úroveň A1</w:t>
                                </w:r>
                                <w:r w:rsidRPr="007E04A0"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  <w:t xml:space="preserve"> </w:t>
                                </w:r>
                                <w:r w:rsidRPr="007E04A0"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  <w:br/>
                                </w:r>
                                <w:r w:rsidR="00F45BBA"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  <w:t>Jazyk a komunikácia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109.1pt;margin-top:187.85pt;width:522.85pt;height:207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" filled="f" stroked="f">
                    <v:shadow on="t" color="black" opacity="26214f" origin="-.5,-.5" offset=".74836mm,.74836mm"/>
                    <v:textbox>
                      <w:txbxContent>
                        <w:p w:rsidR="0076629D" w:rsidRPr="007E04A0" w:rsidRDefault="00217DE8" w:rsidP="007E04A0">
                          <w:pPr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</w:pPr>
                          <w:r w:rsidRPr="009011C3"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  <w:t>Metodický list rozvoja finančnej kultúry pre úroveň A1</w:t>
                          </w:r>
                          <w:r w:rsidRPr="007E04A0"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  <w:t xml:space="preserve"> </w:t>
                          </w:r>
                          <w:r w:rsidRPr="007E04A0"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  <w:br/>
                          </w:r>
                          <w:r w:rsidR="00F45BBA"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  <w:t>Jazyk a komunikácia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88160A"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  <w:br w:type="page"/>
          </w:r>
        </w:p>
      </w:sdtContent>
    </w:sdt>
    <w:p w:rsidR="00221BBF" w:rsidRPr="00221BBF" w:rsidRDefault="00217DE8" w:rsidP="00221BBF">
      <w:pPr>
        <w:spacing w:line="192" w:lineRule="auto"/>
        <w:rPr>
          <w:rFonts w:ascii="Verdana" w:hAnsi="Verdana" w:cstheme="minorHAnsi"/>
          <w:sz w:val="32"/>
          <w:szCs w:val="32"/>
        </w:rPr>
      </w:pPr>
      <w:r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lastRenderedPageBreak/>
        <w:t xml:space="preserve">Komponenty metodického listu pre </w:t>
      </w:r>
      <w:r w:rsidR="00EB1644"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>učiteľky a učiteľov</w:t>
      </w:r>
    </w:p>
    <w:tbl>
      <w:tblPr>
        <w:tblStyle w:val="Mriekatabuky"/>
        <w:tblpPr w:leftFromText="141" w:rightFromText="141" w:vertAnchor="text" w:tblpY="1"/>
        <w:tblOverlap w:val="never"/>
        <w:tblW w:w="4987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343"/>
        <w:gridCol w:w="3374"/>
        <w:gridCol w:w="5203"/>
      </w:tblGrid>
      <w:tr w:rsidR="005C0F22" w:rsidTr="009A0EDA">
        <w:trPr>
          <w:trHeight w:val="827"/>
        </w:trPr>
        <w:tc>
          <w:tcPr>
            <w:tcW w:w="1919" w:type="pct"/>
            <w:shd w:val="clear" w:color="auto" w:fill="FFF2CC" w:themeFill="accent4" w:themeFillTint="33"/>
            <w:vAlign w:val="center"/>
          </w:tcPr>
          <w:p w:rsidR="005B14BD" w:rsidRPr="00612ABE" w:rsidRDefault="00217DE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Aktivity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učiteľky/učiteľa</w:t>
            </w:r>
          </w:p>
        </w:tc>
        <w:tc>
          <w:tcPr>
            <w:tcW w:w="1212" w:type="pct"/>
            <w:shd w:val="clear" w:color="auto" w:fill="FFF2CC" w:themeFill="accent4" w:themeFillTint="33"/>
            <w:vAlign w:val="center"/>
          </w:tcPr>
          <w:p w:rsidR="002322A9" w:rsidRPr="00612ABE" w:rsidRDefault="00217DE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Pedagogická činnosť</w:t>
            </w:r>
          </w:p>
          <w:p w:rsidR="005B14BD" w:rsidRPr="00612ABE" w:rsidRDefault="00217DE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v rámci fáz rozvíjania kompetencie</w:t>
            </w:r>
          </w:p>
        </w:tc>
        <w:tc>
          <w:tcPr>
            <w:tcW w:w="1869" w:type="pct"/>
            <w:shd w:val="clear" w:color="auto" w:fill="FFF2CC" w:themeFill="accent4" w:themeFillTint="33"/>
            <w:vAlign w:val="center"/>
          </w:tcPr>
          <w:p w:rsidR="00EB1644" w:rsidRPr="00612ABE" w:rsidRDefault="00EB1644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</w:p>
          <w:p w:rsidR="00EB1644" w:rsidRPr="00612ABE" w:rsidRDefault="00217DE8" w:rsidP="00D02968">
            <w:pPr>
              <w:jc w:val="center"/>
              <w:rPr>
                <w:rFonts w:cstheme="minorHAnsi"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Aktivity žiačky/žiaka</w:t>
            </w:r>
          </w:p>
          <w:p w:rsidR="005B14BD" w:rsidRPr="00612ABE" w:rsidRDefault="005B14BD" w:rsidP="00D02968">
            <w:pPr>
              <w:rPr>
                <w:rFonts w:cstheme="minorHAnsi"/>
                <w:b/>
                <w:bCs/>
                <w:color w:val="1F4E79" w:themeColor="accent1" w:themeShade="80"/>
              </w:rPr>
            </w:pPr>
          </w:p>
        </w:tc>
      </w:tr>
      <w:tr w:rsidR="005C0F22" w:rsidTr="009A0EDA">
        <w:trPr>
          <w:trHeight w:val="815"/>
        </w:trPr>
        <w:tc>
          <w:tcPr>
            <w:tcW w:w="1919" w:type="pct"/>
            <w:shd w:val="clear" w:color="auto" w:fill="FFFFFF" w:themeFill="background1"/>
            <w:vAlign w:val="center"/>
          </w:tcPr>
          <w:p w:rsidR="005B14BD" w:rsidRPr="00B73A5A" w:rsidRDefault="00217DE8" w:rsidP="008815A7">
            <w:pPr>
              <w:pStyle w:val="Odsekzoznamu"/>
              <w:numPr>
                <w:ilvl w:val="0"/>
                <w:numId w:val="14"/>
              </w:numPr>
              <w:rPr>
                <w:rFonts w:cstheme="minorHAnsi"/>
                <w:b/>
                <w:bCs/>
                <w:color w:val="000000"/>
              </w:rPr>
            </w:pPr>
            <w:r w:rsidRPr="008815A7">
              <w:rPr>
                <w:rFonts w:cstheme="minorHAnsi"/>
                <w:color w:val="000000"/>
              </w:rPr>
              <w:t>Vytvorenie situácie/aktivity, ktorá umožní žiačke/žiakovi postupne začať učebnú činnosť.</w:t>
            </w:r>
          </w:p>
        </w:tc>
        <w:tc>
          <w:tcPr>
            <w:tcW w:w="1212" w:type="pct"/>
            <w:shd w:val="clear" w:color="auto" w:fill="FFD966" w:themeFill="accent4" w:themeFillTint="99"/>
            <w:vAlign w:val="center"/>
          </w:tcPr>
          <w:p w:rsidR="005B14BD" w:rsidRPr="00612ABE" w:rsidRDefault="00217DE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Iniciačná fáza </w:t>
            </w:r>
            <w:r w:rsidR="00E36637" w:rsidRPr="00612ABE">
              <w:rPr>
                <w:rFonts w:cstheme="minorHAnsi"/>
                <w:b/>
                <w:bCs/>
                <w:color w:val="1F4E79" w:themeColor="accent1" w:themeShade="80"/>
              </w:rPr>
              <w:br/>
            </w: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oboznamovanie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 sa s aktivitou 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:rsidR="00507185" w:rsidRPr="00B73A5A" w:rsidRDefault="00217DE8" w:rsidP="00D505E9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Oboznámenie sa s aktivitou</w:t>
            </w:r>
            <w:r w:rsidR="005B14BD" w:rsidRPr="00B73A5A">
              <w:rPr>
                <w:rFonts w:cstheme="minorHAnsi"/>
                <w:color w:val="000000"/>
              </w:rPr>
              <w:t>.</w:t>
            </w:r>
          </w:p>
          <w:p w:rsidR="005B14BD" w:rsidRPr="00B73A5A" w:rsidRDefault="00217DE8" w:rsidP="00D505E9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Oboznámenie sa so sociokultúrnym kontextom v rámci triedy/skupiny.</w:t>
            </w:r>
          </w:p>
        </w:tc>
      </w:tr>
      <w:tr w:rsidR="005C0F22" w:rsidTr="009A0EDA">
        <w:trPr>
          <w:trHeight w:val="1926"/>
        </w:trPr>
        <w:tc>
          <w:tcPr>
            <w:tcW w:w="1919" w:type="pct"/>
            <w:shd w:val="clear" w:color="auto" w:fill="FFFFFF" w:themeFill="background1"/>
            <w:vAlign w:val="center"/>
          </w:tcPr>
          <w:p w:rsidR="008815A7" w:rsidRPr="008815A7" w:rsidRDefault="00217DE8" w:rsidP="008815A7">
            <w:pPr>
              <w:pStyle w:val="Odsekzoznamu"/>
              <w:numPr>
                <w:ilvl w:val="0"/>
                <w:numId w:val="14"/>
              </w:numPr>
              <w:rPr>
                <w:rFonts w:cstheme="minorHAnsi"/>
                <w:color w:val="000000"/>
              </w:rPr>
            </w:pPr>
            <w:r w:rsidRPr="008815A7">
              <w:rPr>
                <w:rFonts w:cstheme="minorHAnsi"/>
                <w:color w:val="000000"/>
              </w:rPr>
              <w:t>Vytvorenie, resp. navodenie problémovej situácie.</w:t>
            </w:r>
          </w:p>
          <w:p w:rsidR="008815A7" w:rsidRPr="008815A7" w:rsidRDefault="00217DE8" w:rsidP="008815A7">
            <w:pPr>
              <w:pStyle w:val="Odsekzoznamu"/>
              <w:rPr>
                <w:rFonts w:cstheme="minorHAnsi"/>
                <w:color w:val="000000"/>
              </w:rPr>
            </w:pPr>
            <w:r w:rsidRPr="008815A7">
              <w:rPr>
                <w:rFonts w:cstheme="minorHAnsi"/>
                <w:color w:val="000000"/>
              </w:rPr>
              <w:t>Pozorovanie reakcie a správania žiačok/žiakov.</w:t>
            </w:r>
          </w:p>
          <w:p w:rsidR="008815A7" w:rsidRPr="008815A7" w:rsidRDefault="00217DE8" w:rsidP="008815A7">
            <w:pPr>
              <w:pStyle w:val="Odsekzoznamu"/>
              <w:numPr>
                <w:ilvl w:val="0"/>
                <w:numId w:val="14"/>
              </w:numPr>
              <w:rPr>
                <w:rFonts w:cstheme="minorHAnsi"/>
                <w:color w:val="000000"/>
              </w:rPr>
            </w:pPr>
            <w:r w:rsidRPr="008815A7">
              <w:rPr>
                <w:rFonts w:cstheme="minorHAnsi"/>
                <w:color w:val="000000"/>
              </w:rPr>
              <w:t xml:space="preserve">Identifikovanie úrovne ich schopnosti adekvátne reagovať na situáciu. </w:t>
            </w:r>
          </w:p>
          <w:p w:rsidR="005B14BD" w:rsidRPr="008815A7" w:rsidRDefault="00217DE8" w:rsidP="008815A7">
            <w:pPr>
              <w:pStyle w:val="Odsekzoznamu"/>
              <w:numPr>
                <w:ilvl w:val="0"/>
                <w:numId w:val="14"/>
              </w:numPr>
              <w:rPr>
                <w:rFonts w:cstheme="minorHAnsi"/>
                <w:color w:val="000000"/>
              </w:rPr>
            </w:pPr>
            <w:r w:rsidRPr="008815A7">
              <w:rPr>
                <w:rFonts w:cstheme="minorHAnsi"/>
                <w:color w:val="000000"/>
              </w:rPr>
              <w:t>Stanovenie cieľov, toho, čo sa má žiačka/žiak naučiť/to, čo má rozvíjať.</w:t>
            </w:r>
          </w:p>
        </w:tc>
        <w:tc>
          <w:tcPr>
            <w:tcW w:w="1212" w:type="pct"/>
            <w:shd w:val="clear" w:color="auto" w:fill="FFD966" w:themeFill="accent4" w:themeFillTint="99"/>
            <w:vAlign w:val="center"/>
          </w:tcPr>
          <w:p w:rsidR="007723EB" w:rsidRPr="007723EB" w:rsidRDefault="00217DE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  <w:sz w:val="28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Vstupná fáza </w:t>
            </w:r>
          </w:p>
          <w:p w:rsidR="005B14BD" w:rsidRPr="00612ABE" w:rsidRDefault="00217DE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v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zorová situácia/vstupná diagnostika úrovne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žiačok/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>žiakov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:rsidR="004D0302" w:rsidRPr="00B73A5A" w:rsidRDefault="00217DE8" w:rsidP="00D505E9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Pochopenie problému/problémovej situácie</w:t>
            </w:r>
            <w:r w:rsidR="00BD0F9D" w:rsidRPr="00B73A5A">
              <w:rPr>
                <w:rFonts w:cstheme="minorHAnsi"/>
                <w:color w:val="000000"/>
              </w:rPr>
              <w:t>.</w:t>
            </w:r>
          </w:p>
          <w:p w:rsidR="004D0302" w:rsidRPr="00B73A5A" w:rsidRDefault="00217DE8" w:rsidP="00D505E9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U</w:t>
            </w:r>
            <w:r w:rsidR="004452C9" w:rsidRPr="00B73A5A">
              <w:rPr>
                <w:rFonts w:cstheme="minorHAnsi"/>
                <w:color w:val="000000"/>
              </w:rPr>
              <w:t>vedomenie si cieľa aktivity.</w:t>
            </w:r>
          </w:p>
          <w:p w:rsidR="00BD0F9D" w:rsidRPr="00B73A5A" w:rsidRDefault="00217DE8" w:rsidP="00D505E9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bCs/>
                <w:color w:val="000000"/>
              </w:rPr>
            </w:pPr>
            <w:r w:rsidRPr="00B73A5A">
              <w:rPr>
                <w:rFonts w:cstheme="minorHAnsi"/>
                <w:bCs/>
                <w:color w:val="000000"/>
              </w:rPr>
              <w:t>Vstupné hodnotenie.</w:t>
            </w:r>
          </w:p>
        </w:tc>
      </w:tr>
      <w:tr w:rsidR="005C0F22" w:rsidTr="009A0EDA">
        <w:trPr>
          <w:trHeight w:val="1926"/>
        </w:trPr>
        <w:tc>
          <w:tcPr>
            <w:tcW w:w="1919" w:type="pct"/>
            <w:shd w:val="clear" w:color="auto" w:fill="FFFFFF" w:themeFill="background1"/>
            <w:vAlign w:val="center"/>
          </w:tcPr>
          <w:p w:rsidR="005B14BD" w:rsidRPr="00B73A5A" w:rsidRDefault="00217DE8" w:rsidP="00D505E9">
            <w:pPr>
              <w:pStyle w:val="Odsekzoznamu"/>
              <w:numPr>
                <w:ilvl w:val="0"/>
                <w:numId w:val="14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Návrh problémových situácií/otázok/príkladov a pod., ktoré podporia riešenie vstupného problému.</w:t>
            </w:r>
          </w:p>
        </w:tc>
        <w:tc>
          <w:tcPr>
            <w:tcW w:w="1212" w:type="pct"/>
            <w:shd w:val="clear" w:color="auto" w:fill="FFD966" w:themeFill="accent4" w:themeFillTint="99"/>
            <w:vAlign w:val="center"/>
          </w:tcPr>
          <w:p w:rsidR="007723EB" w:rsidRPr="007723EB" w:rsidRDefault="00217DE8" w:rsidP="007723EB">
            <w:pPr>
              <w:jc w:val="center"/>
              <w:rPr>
                <w:rFonts w:cstheme="minorHAnsi"/>
                <w:b/>
                <w:bCs/>
                <w:color w:val="1F4E79" w:themeColor="accent1" w:themeShade="80"/>
                <w:sz w:val="28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>F</w:t>
            </w:r>
            <w:r w:rsidR="00D248E3"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áza učenia sa </w:t>
            </w:r>
          </w:p>
          <w:p w:rsidR="005B14BD" w:rsidRPr="00612ABE" w:rsidRDefault="00217DE8" w:rsidP="007723EB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cielený rozvoj kompetencií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žiačok/žiakov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:rsidR="00507185" w:rsidRPr="00B73A5A" w:rsidRDefault="00217DE8" w:rsidP="00D505E9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Hľadanie správnej cesty/postupov k riešeniu vstupného problému.</w:t>
            </w:r>
          </w:p>
          <w:p w:rsidR="005B14BD" w:rsidRPr="00B73A5A" w:rsidRDefault="00217DE8" w:rsidP="00D505E9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Formulovanie jednotlivých postupov, ktoré budú viesť k riešeniu celkového, resp. čiastkových problémov v rámci vstupného problému.</w:t>
            </w:r>
            <w:r w:rsidRPr="00B73A5A">
              <w:rPr>
                <w:rFonts w:cstheme="minorHAnsi"/>
                <w:color w:val="000000"/>
              </w:rPr>
              <w:br/>
              <w:t>Identifikovanie faktorov ús</w:t>
            </w:r>
            <w:r w:rsidR="00D248E3" w:rsidRPr="00B73A5A">
              <w:rPr>
                <w:rFonts w:cstheme="minorHAnsi"/>
                <w:color w:val="000000"/>
              </w:rPr>
              <w:t>pešného riešenia.</w:t>
            </w:r>
          </w:p>
        </w:tc>
      </w:tr>
      <w:tr w:rsidR="005C0F22" w:rsidTr="009A0EDA">
        <w:trPr>
          <w:trHeight w:val="1111"/>
        </w:trPr>
        <w:tc>
          <w:tcPr>
            <w:tcW w:w="1919" w:type="pct"/>
            <w:shd w:val="clear" w:color="auto" w:fill="FFFFFF" w:themeFill="background1"/>
            <w:vAlign w:val="center"/>
          </w:tcPr>
          <w:p w:rsidR="004D0302" w:rsidRPr="00B73A5A" w:rsidRDefault="00217DE8" w:rsidP="00D505E9">
            <w:pPr>
              <w:pStyle w:val="Odsekzoznamu"/>
              <w:numPr>
                <w:ilvl w:val="0"/>
                <w:numId w:val="14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Aktivity umožňujúce pozitívne konštatovan</w:t>
            </w:r>
            <w:r w:rsidR="00507185" w:rsidRPr="00B73A5A">
              <w:rPr>
                <w:rFonts w:cstheme="minorHAnsi"/>
                <w:color w:val="000000"/>
              </w:rPr>
              <w:t>ie dosiahnutia vstupného cieľa.</w:t>
            </w:r>
          </w:p>
          <w:p w:rsidR="005B14BD" w:rsidRPr="00B73A5A" w:rsidRDefault="00217DE8" w:rsidP="00D505E9">
            <w:pPr>
              <w:pStyle w:val="Odsekzoznamu"/>
              <w:numPr>
                <w:ilvl w:val="0"/>
                <w:numId w:val="14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Aktivity umožňujúce uvedomenie si stupňa rozvoja kompetencií </w:t>
            </w:r>
            <w:r w:rsidR="00EB1644" w:rsidRPr="00B73A5A">
              <w:rPr>
                <w:rFonts w:cstheme="minorHAnsi"/>
                <w:color w:val="000000"/>
              </w:rPr>
              <w:t>žiačok/</w:t>
            </w:r>
            <w:r w:rsidRPr="00B73A5A">
              <w:rPr>
                <w:rFonts w:cstheme="minorHAnsi"/>
                <w:color w:val="000000"/>
              </w:rPr>
              <w:t xml:space="preserve">žiakov. </w:t>
            </w:r>
          </w:p>
        </w:tc>
        <w:tc>
          <w:tcPr>
            <w:tcW w:w="1212" w:type="pct"/>
            <w:shd w:val="clear" w:color="auto" w:fill="FFD966" w:themeFill="accent4" w:themeFillTint="99"/>
            <w:vAlign w:val="center"/>
          </w:tcPr>
          <w:p w:rsidR="00507185" w:rsidRPr="00612ABE" w:rsidRDefault="00217DE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Fáza utvrdzovania </w:t>
            </w:r>
            <w:r w:rsidR="00E36637" w:rsidRPr="00612ABE">
              <w:rPr>
                <w:rFonts w:cstheme="minorHAnsi"/>
                <w:b/>
                <w:bCs/>
                <w:color w:val="1F4E79" w:themeColor="accent1" w:themeShade="80"/>
              </w:rPr>
              <w:br/>
            </w: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referenčné situácie utvrdzovania/</w:t>
            </w:r>
          </w:p>
          <w:p w:rsidR="005B14BD" w:rsidRPr="00612ABE" w:rsidRDefault="00217DE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záverečné hodnotenie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:rsidR="005B14BD" w:rsidRPr="00B73A5A" w:rsidRDefault="00217DE8" w:rsidP="00D505E9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Konštatovanie a hodnotenie pokroku </w:t>
            </w:r>
            <w:r w:rsidR="00EB1644" w:rsidRPr="00B73A5A">
              <w:rPr>
                <w:rFonts w:cstheme="minorHAnsi"/>
                <w:color w:val="000000"/>
              </w:rPr>
              <w:t>žiačkami/</w:t>
            </w:r>
            <w:r w:rsidRPr="00B73A5A">
              <w:rPr>
                <w:rFonts w:cstheme="minorHAnsi"/>
                <w:color w:val="000000"/>
              </w:rPr>
              <w:t>žiakmi.</w:t>
            </w:r>
          </w:p>
        </w:tc>
      </w:tr>
    </w:tbl>
    <w:p w:rsidR="007F1B9C" w:rsidRPr="00E36637" w:rsidRDefault="007F1B9C" w:rsidP="00963851">
      <w:pPr>
        <w:spacing w:line="192" w:lineRule="auto"/>
        <w:rPr>
          <w:rFonts w:ascii="Verdana" w:hAnsi="Verdana" w:cstheme="minorHAnsi"/>
          <w:b/>
          <w:bCs/>
          <w:color w:val="000000"/>
          <w:sz w:val="28"/>
          <w:szCs w:val="28"/>
        </w:rPr>
      </w:pPr>
    </w:p>
    <w:p w:rsidR="00C950A3" w:rsidRDefault="00C950A3" w:rsidP="00963851">
      <w:pPr>
        <w:spacing w:line="192" w:lineRule="auto"/>
        <w:rPr>
          <w:rFonts w:ascii="Verdana" w:hAnsi="Verdana" w:cstheme="minorHAnsi"/>
          <w:b/>
          <w:bCs/>
          <w:color w:val="2E74B5" w:themeColor="accent1" w:themeShade="BF"/>
          <w:sz w:val="32"/>
          <w:szCs w:val="32"/>
        </w:rPr>
      </w:pPr>
    </w:p>
    <w:p w:rsidR="005249C4" w:rsidRDefault="00217DE8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  <w:r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>Metodický list</w:t>
      </w:r>
      <w:r w:rsidR="004438AB"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 xml:space="preserve"> rozvoja finančnej kultúry</w:t>
      </w:r>
    </w:p>
    <w:p w:rsidR="007723EB" w:rsidRPr="00855448" w:rsidRDefault="007723EB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</w:p>
    <w:tbl>
      <w:tblPr>
        <w:tblStyle w:val="Mriekatabuky"/>
        <w:tblW w:w="5000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619"/>
        <w:gridCol w:w="5620"/>
        <w:gridCol w:w="2163"/>
        <w:gridCol w:w="2554"/>
      </w:tblGrid>
      <w:tr w:rsidR="005C0F22" w:rsidTr="00074E89">
        <w:tc>
          <w:tcPr>
            <w:tcW w:w="1332" w:type="pct"/>
            <w:shd w:val="clear" w:color="auto" w:fill="FFF2CC" w:themeFill="accent4" w:themeFillTint="33"/>
            <w:vAlign w:val="center"/>
          </w:tcPr>
          <w:p w:rsidR="00DA031A" w:rsidRPr="00B73A5A" w:rsidRDefault="00217DE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2049" w:type="pct"/>
            <w:shd w:val="clear" w:color="auto" w:fill="FFF2CC" w:themeFill="accent4" w:themeFillTint="33"/>
            <w:vAlign w:val="center"/>
          </w:tcPr>
          <w:p w:rsidR="00DA031A" w:rsidRPr="00B73A5A" w:rsidRDefault="00217DE8" w:rsidP="00963851">
            <w:pPr>
              <w:spacing w:line="192" w:lineRule="auto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360814">
              <w:rPr>
                <w:rFonts w:ascii="Verdana" w:hAnsi="Verdana" w:cstheme="minorHAnsi"/>
                <w:b/>
                <w:sz w:val="20"/>
                <w:szCs w:val="20"/>
              </w:rPr>
              <w:t>Čo s peniazmi?</w:t>
            </w:r>
          </w:p>
        </w:tc>
        <w:tc>
          <w:tcPr>
            <w:tcW w:w="810" w:type="pct"/>
            <w:shd w:val="clear" w:color="auto" w:fill="FFF2CC" w:themeFill="accent4" w:themeFillTint="33"/>
            <w:vAlign w:val="center"/>
          </w:tcPr>
          <w:p w:rsidR="00DA031A" w:rsidRPr="00B73A5A" w:rsidRDefault="00217DE8" w:rsidP="00612ABE">
            <w:pPr>
              <w:rPr>
                <w:rFonts w:ascii="Verdana" w:hAnsi="Verdana" w:cstheme="minorHAnsi"/>
                <w:b/>
                <w:color w:val="000000"/>
                <w:sz w:val="20"/>
                <w:szCs w:val="20"/>
              </w:rPr>
            </w:pPr>
            <w:r w:rsidRPr="00612ABE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Číslo metodického listu</w:t>
            </w:r>
          </w:p>
        </w:tc>
        <w:tc>
          <w:tcPr>
            <w:tcW w:w="810" w:type="pct"/>
            <w:shd w:val="clear" w:color="auto" w:fill="FFF2CC" w:themeFill="accent4" w:themeFillTint="33"/>
            <w:vAlign w:val="center"/>
          </w:tcPr>
          <w:p w:rsidR="00DA031A" w:rsidRPr="00074E89" w:rsidRDefault="00217DE8" w:rsidP="00963851">
            <w:pPr>
              <w:spacing w:line="192" w:lineRule="auto"/>
              <w:rPr>
                <w:rFonts w:ascii="Verdana" w:hAnsi="Verdana" w:cstheme="minorHAnsi"/>
                <w:b/>
                <w:color w:val="000000"/>
                <w:sz w:val="20"/>
                <w:szCs w:val="20"/>
              </w:rPr>
            </w:pPr>
            <w:r w:rsidRPr="00360814">
              <w:rPr>
                <w:rFonts w:ascii="Verdana" w:hAnsi="Verdana" w:cstheme="minorHAnsi"/>
                <w:b/>
                <w:sz w:val="20"/>
                <w:szCs w:val="20"/>
              </w:rPr>
              <w:t>A1</w:t>
            </w:r>
            <w:r w:rsidR="00F658B9">
              <w:rPr>
                <w:rFonts w:ascii="Verdana" w:hAnsi="Verdana" w:cstheme="minorHAnsi"/>
                <w:b/>
                <w:sz w:val="20"/>
                <w:szCs w:val="20"/>
              </w:rPr>
              <w:t>.1</w:t>
            </w:r>
            <w:r w:rsidRPr="00360814">
              <w:rPr>
                <w:rFonts w:ascii="Verdana" w:hAnsi="Verdana" w:cstheme="minorHAnsi"/>
                <w:b/>
                <w:sz w:val="20"/>
                <w:szCs w:val="20"/>
              </w:rPr>
              <w:t>/1S/0</w:t>
            </w:r>
            <w:r w:rsidR="00F658B9">
              <w:rPr>
                <w:rFonts w:ascii="Verdana" w:hAnsi="Verdana" w:cstheme="minorHAnsi"/>
                <w:b/>
                <w:sz w:val="20"/>
                <w:szCs w:val="20"/>
              </w:rPr>
              <w:t>1</w:t>
            </w:r>
            <w:r w:rsidRPr="00360814">
              <w:rPr>
                <w:rFonts w:ascii="Verdana" w:hAnsi="Verdana" w:cstheme="minorHAnsi"/>
                <w:b/>
                <w:sz w:val="20"/>
                <w:szCs w:val="20"/>
              </w:rPr>
              <w:t>/JK/PO</w:t>
            </w:r>
          </w:p>
        </w:tc>
      </w:tr>
      <w:tr w:rsidR="005C0F22" w:rsidTr="00074E89">
        <w:tc>
          <w:tcPr>
            <w:tcW w:w="1332" w:type="pct"/>
            <w:shd w:val="clear" w:color="auto" w:fill="FFF2CC" w:themeFill="accent4" w:themeFillTint="33"/>
            <w:vAlign w:val="center"/>
          </w:tcPr>
          <w:p w:rsidR="00DA031A" w:rsidRPr="00B73A5A" w:rsidRDefault="00217DE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3668" w:type="pct"/>
            <w:gridSpan w:val="3"/>
            <w:vAlign w:val="center"/>
          </w:tcPr>
          <w:p w:rsidR="00DA031A" w:rsidRPr="00E36637" w:rsidRDefault="00217DE8" w:rsidP="00963851">
            <w:pPr>
              <w:spacing w:line="192" w:lineRule="auto"/>
              <w:rPr>
                <w:rFonts w:ascii="Verdana" w:hAnsi="Verdana" w:cstheme="minorHAnsi"/>
              </w:rPr>
            </w:pPr>
            <w:r w:rsidRPr="00E36637">
              <w:rPr>
                <w:rFonts w:ascii="Verdana" w:hAnsi="Verdana" w:cstheme="minorHAnsi"/>
              </w:rPr>
              <w:t>Jazyk a komunikácia</w:t>
            </w:r>
          </w:p>
        </w:tc>
      </w:tr>
      <w:tr w:rsidR="005C0F22" w:rsidTr="00074E89">
        <w:tc>
          <w:tcPr>
            <w:tcW w:w="1332" w:type="pct"/>
            <w:shd w:val="clear" w:color="auto" w:fill="FFF2CC" w:themeFill="accent4" w:themeFillTint="33"/>
            <w:vAlign w:val="center"/>
          </w:tcPr>
          <w:p w:rsidR="00AE4DC5" w:rsidRPr="00B73A5A" w:rsidRDefault="00217DE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3668" w:type="pct"/>
            <w:gridSpan w:val="3"/>
            <w:vAlign w:val="center"/>
          </w:tcPr>
          <w:p w:rsidR="00AE4DC5" w:rsidRPr="00E36637" w:rsidRDefault="00217DE8" w:rsidP="00963851">
            <w:pPr>
              <w:spacing w:line="192" w:lineRule="auto"/>
              <w:rPr>
                <w:rFonts w:ascii="Verdana" w:hAnsi="Verdana" w:cstheme="minorHAnsi"/>
              </w:rPr>
            </w:pPr>
            <w:r w:rsidRPr="00E36637">
              <w:rPr>
                <w:rFonts w:ascii="Verdana" w:hAnsi="Verdana" w:cstheme="minorHAnsi"/>
              </w:rPr>
              <w:t>A1</w:t>
            </w:r>
          </w:p>
        </w:tc>
      </w:tr>
      <w:tr w:rsidR="005C0F22" w:rsidTr="00074E89">
        <w:tc>
          <w:tcPr>
            <w:tcW w:w="1332" w:type="pct"/>
            <w:shd w:val="clear" w:color="auto" w:fill="FFF2CC" w:themeFill="accent4" w:themeFillTint="33"/>
            <w:vAlign w:val="center"/>
          </w:tcPr>
          <w:p w:rsidR="00AE4DC5" w:rsidRPr="00B73A5A" w:rsidRDefault="00217DE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Kompetenci</w:t>
            </w:r>
            <w:r w:rsidR="00F92E74"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a</w:t>
            </w: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 xml:space="preserve"> rozvoja myslenia</w:t>
            </w:r>
          </w:p>
        </w:tc>
        <w:tc>
          <w:tcPr>
            <w:tcW w:w="3668" w:type="pct"/>
            <w:gridSpan w:val="3"/>
            <w:vAlign w:val="center"/>
          </w:tcPr>
          <w:p w:rsidR="00AE4DC5" w:rsidRPr="00E36637" w:rsidRDefault="00217DE8" w:rsidP="00963851">
            <w:pPr>
              <w:tabs>
                <w:tab w:val="left" w:pos="1097"/>
              </w:tabs>
              <w:spacing w:line="192" w:lineRule="auto"/>
              <w:rPr>
                <w:rFonts w:ascii="Verdana" w:hAnsi="Verdana" w:cstheme="minorHAnsi"/>
              </w:rPr>
            </w:pPr>
            <w:r w:rsidRPr="00E36637">
              <w:rPr>
                <w:rFonts w:ascii="Verdana" w:hAnsi="Verdana" w:cstheme="minorHAnsi"/>
              </w:rPr>
              <w:t>Počúvanie</w:t>
            </w:r>
          </w:p>
        </w:tc>
      </w:tr>
      <w:tr w:rsidR="005C0F22" w:rsidTr="00074E89">
        <w:tc>
          <w:tcPr>
            <w:tcW w:w="1332" w:type="pct"/>
            <w:shd w:val="clear" w:color="auto" w:fill="FFF2CC" w:themeFill="accent4" w:themeFillTint="33"/>
            <w:vAlign w:val="center"/>
          </w:tcPr>
          <w:p w:rsidR="00F92E74" w:rsidRPr="00B73A5A" w:rsidRDefault="00217DE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3668" w:type="pct"/>
            <w:gridSpan w:val="3"/>
            <w:vAlign w:val="center"/>
          </w:tcPr>
          <w:p w:rsidR="00F92E74" w:rsidRPr="00E36637" w:rsidRDefault="00217DE8" w:rsidP="00CA6A69">
            <w:pPr>
              <w:rPr>
                <w:rFonts w:ascii="Verdana" w:hAnsi="Verdana" w:cstheme="minorHAnsi"/>
              </w:rPr>
            </w:pPr>
            <w:r w:rsidRPr="00E36637">
              <w:rPr>
                <w:rFonts w:ascii="Verdana" w:hAnsi="Verdana" w:cstheme="minorHAnsi"/>
              </w:rPr>
              <w:t>Dokáže rozpoznať známe slová a základné pojmy.</w:t>
            </w:r>
          </w:p>
        </w:tc>
      </w:tr>
      <w:tr w:rsidR="005C0F22" w:rsidTr="00074E89">
        <w:tc>
          <w:tcPr>
            <w:tcW w:w="1332" w:type="pct"/>
            <w:shd w:val="clear" w:color="auto" w:fill="FFF2CC" w:themeFill="accent4" w:themeFillTint="33"/>
            <w:vAlign w:val="center"/>
          </w:tcPr>
          <w:p w:rsidR="00AE4DC5" w:rsidRPr="00B73A5A" w:rsidRDefault="00217DE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3668" w:type="pct"/>
            <w:gridSpan w:val="3"/>
            <w:vAlign w:val="center"/>
          </w:tcPr>
          <w:p w:rsidR="00AE4DC5" w:rsidRPr="00E36637" w:rsidRDefault="00217DE8" w:rsidP="00CA6A69">
            <w:pPr>
              <w:rPr>
                <w:rFonts w:ascii="Verdana" w:hAnsi="Verdana" w:cstheme="minorHAnsi"/>
                <w:color w:val="FF0000"/>
              </w:rPr>
            </w:pPr>
            <w:r w:rsidRPr="00360814">
              <w:rPr>
                <w:rFonts w:ascii="Verdana" w:hAnsi="Verdana" w:cstheme="minorHAnsi"/>
              </w:rPr>
              <w:t>Rešpektuje, že rôzni ľudia môžu mať odlišné preferencie vo vzťahu k výdavkom, ako aj k sporeniu a darovaniu peňazí.</w:t>
            </w:r>
          </w:p>
        </w:tc>
      </w:tr>
      <w:tr w:rsidR="005C0F22" w:rsidTr="00074E89">
        <w:tc>
          <w:tcPr>
            <w:tcW w:w="1332" w:type="pct"/>
            <w:shd w:val="clear" w:color="auto" w:fill="FFF2CC" w:themeFill="accent4" w:themeFillTint="33"/>
            <w:vAlign w:val="center"/>
          </w:tcPr>
          <w:p w:rsidR="00AE4DC5" w:rsidRPr="00B73A5A" w:rsidRDefault="00217DE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3668" w:type="pct"/>
            <w:gridSpan w:val="3"/>
            <w:vAlign w:val="center"/>
          </w:tcPr>
          <w:p w:rsidR="00AE4DC5" w:rsidRPr="00E36637" w:rsidRDefault="00217DE8" w:rsidP="00CA6A69">
            <w:pPr>
              <w:rPr>
                <w:rFonts w:ascii="Verdana" w:hAnsi="Verdana" w:cstheme="minorHAnsi"/>
                <w:color w:val="000000"/>
              </w:rPr>
            </w:pPr>
            <w:r w:rsidRPr="008815A7">
              <w:rPr>
                <w:rFonts w:ascii="Verdana" w:hAnsi="Verdana" w:cstheme="minorHAnsi"/>
              </w:rPr>
              <w:t>Rozhodovanie a hospodárenie spotrebiteliek a spotrebiteľov</w:t>
            </w:r>
          </w:p>
        </w:tc>
      </w:tr>
    </w:tbl>
    <w:p w:rsidR="00AE4DC5" w:rsidRPr="00E36637" w:rsidRDefault="00AE4DC5" w:rsidP="00963851">
      <w:pPr>
        <w:spacing w:line="192" w:lineRule="auto"/>
        <w:rPr>
          <w:rFonts w:ascii="Verdana" w:hAnsi="Verdana" w:cstheme="minorHAnsi"/>
          <w:color w:val="000000"/>
        </w:rPr>
      </w:pPr>
    </w:p>
    <w:p w:rsidR="00D500F0" w:rsidRDefault="00217DE8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Style w:val="Mriekatabuky"/>
        <w:tblW w:w="5000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062"/>
        <w:gridCol w:w="2479"/>
        <w:gridCol w:w="2925"/>
        <w:gridCol w:w="2629"/>
        <w:gridCol w:w="2861"/>
      </w:tblGrid>
      <w:tr w:rsidR="005C0F22" w:rsidTr="00B0738F">
        <w:tc>
          <w:tcPr>
            <w:tcW w:w="1097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A031A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lastRenderedPageBreak/>
              <w:t>Fázy implementácie</w:t>
            </w:r>
          </w:p>
        </w:tc>
        <w:tc>
          <w:tcPr>
            <w:tcW w:w="888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A031A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1</w:t>
            </w:r>
          </w:p>
        </w:tc>
        <w:tc>
          <w:tcPr>
            <w:tcW w:w="1048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A031A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2</w:t>
            </w:r>
          </w:p>
        </w:tc>
        <w:tc>
          <w:tcPr>
            <w:tcW w:w="942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A031A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3</w:t>
            </w:r>
          </w:p>
        </w:tc>
        <w:tc>
          <w:tcPr>
            <w:tcW w:w="1025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A031A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4</w:t>
            </w:r>
          </w:p>
        </w:tc>
      </w:tr>
      <w:tr w:rsidR="005C0F22" w:rsidTr="00B0738F">
        <w:trPr>
          <w:trHeight w:val="904"/>
        </w:trPr>
        <w:tc>
          <w:tcPr>
            <w:tcW w:w="1097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Názov fáz</w:t>
            </w:r>
          </w:p>
        </w:tc>
        <w:tc>
          <w:tcPr>
            <w:tcW w:w="888" w:type="pct"/>
            <w:shd w:val="clear" w:color="auto" w:fill="FFE599" w:themeFill="accent4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D505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Iniciačná fáza</w:t>
            </w:r>
            <w:r w:rsidR="00BE0915" w:rsidRPr="00D505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</w:t>
            </w:r>
            <w:r w:rsidRPr="00612AB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>oboznamovanie sa s aktivitou</w:t>
            </w:r>
          </w:p>
        </w:tc>
        <w:tc>
          <w:tcPr>
            <w:tcW w:w="1048" w:type="pct"/>
            <w:shd w:val="clear" w:color="auto" w:fill="FFE599" w:themeFill="accent4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D505E9" w:rsidRDefault="00217DE8" w:rsidP="00CF352F">
            <w:pPr>
              <w:spacing w:line="200" w:lineRule="exac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505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Vstupná fáza:</w:t>
            </w:r>
          </w:p>
          <w:p w:rsidR="00DA031A" w:rsidRPr="00612ABE" w:rsidRDefault="00217DE8" w:rsidP="00CF352F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 xml:space="preserve">vzorová situácia; vstupná diagnostika úrovne </w:t>
            </w:r>
            <w:r w:rsidR="00EB1644" w:rsidRPr="00612ABE">
              <w:rPr>
                <w:rFonts w:cstheme="minorHAnsi"/>
                <w:color w:val="000000"/>
                <w:sz w:val="20"/>
                <w:szCs w:val="20"/>
              </w:rPr>
              <w:t>žiačok/žiakov</w:t>
            </w:r>
          </w:p>
        </w:tc>
        <w:tc>
          <w:tcPr>
            <w:tcW w:w="942" w:type="pct"/>
            <w:shd w:val="clear" w:color="auto" w:fill="FFE599" w:themeFill="accent4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D505E9" w:rsidRDefault="00217DE8" w:rsidP="00CF352F">
            <w:pPr>
              <w:spacing w:line="200" w:lineRule="exac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505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Fáza učenia sa: </w:t>
            </w:r>
          </w:p>
          <w:p w:rsidR="00DA031A" w:rsidRPr="00612ABE" w:rsidRDefault="00217DE8" w:rsidP="00CF352F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 xml:space="preserve">cielený rozvoj kompetencií </w:t>
            </w:r>
            <w:r w:rsidR="00EB1644" w:rsidRPr="00612ABE">
              <w:rPr>
                <w:rFonts w:cstheme="minorHAnsi"/>
                <w:color w:val="000000"/>
                <w:sz w:val="20"/>
                <w:szCs w:val="20"/>
              </w:rPr>
              <w:t>žiačok/žiakov</w:t>
            </w:r>
          </w:p>
        </w:tc>
        <w:tc>
          <w:tcPr>
            <w:tcW w:w="1025" w:type="pct"/>
            <w:shd w:val="clear" w:color="auto" w:fill="FFE599" w:themeFill="accent4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A031A" w:rsidRPr="00612ABE" w:rsidRDefault="00217DE8" w:rsidP="00CF352F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D505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Fáza utvrdzovania:</w:t>
            </w: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 w:rsidR="00D505E9">
              <w:rPr>
                <w:rFonts w:cstheme="minorHAnsi"/>
                <w:bCs/>
                <w:color w:val="000000"/>
                <w:sz w:val="20"/>
                <w:szCs w:val="20"/>
              </w:rPr>
              <w:br/>
            </w: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>referenčné situácie utvrdzovania; záverečné hodnotenie</w:t>
            </w:r>
          </w:p>
        </w:tc>
      </w:tr>
      <w:tr w:rsidR="005C0F22" w:rsidTr="00B0738F">
        <w:trPr>
          <w:trHeight w:val="2250"/>
        </w:trPr>
        <w:tc>
          <w:tcPr>
            <w:tcW w:w="1097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B1644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bCs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bCs/>
                <w:color w:val="1F4E79" w:themeColor="accent1" w:themeShade="80"/>
                <w:sz w:val="18"/>
                <w:szCs w:val="18"/>
              </w:rPr>
              <w:t>Pedagogická činnosť</w:t>
            </w:r>
          </w:p>
          <w:p w:rsidR="00833FEE" w:rsidRPr="00B73A5A" w:rsidRDefault="00217DE8" w:rsidP="00CF352F">
            <w:pPr>
              <w:spacing w:line="200" w:lineRule="exact"/>
              <w:rPr>
                <w:rFonts w:ascii="Verdana" w:hAnsi="Verdana" w:cstheme="minorHAnsi"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bCs/>
                <w:color w:val="1F4E79" w:themeColor="accent1" w:themeShade="80"/>
                <w:sz w:val="18"/>
                <w:szCs w:val="18"/>
              </w:rPr>
              <w:t>v rámci fáz rozvíjania kompetencie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3FEE" w:rsidRPr="00360814" w:rsidRDefault="00217DE8" w:rsidP="00360814">
            <w:pPr>
              <w:pStyle w:val="Odsekzoznamu"/>
              <w:numPr>
                <w:ilvl w:val="0"/>
                <w:numId w:val="1"/>
              </w:numPr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 xml:space="preserve">Vytvorenie situácie/aktivity, ktorá umožní </w:t>
            </w:r>
            <w:r w:rsidR="009011C3">
              <w:rPr>
                <w:rFonts w:cstheme="minorHAnsi"/>
                <w:color w:val="000000"/>
                <w:sz w:val="20"/>
                <w:szCs w:val="20"/>
              </w:rPr>
              <w:t>žiačke/</w:t>
            </w:r>
            <w:r w:rsidRPr="00360814">
              <w:rPr>
                <w:rFonts w:cstheme="minorHAnsi"/>
                <w:color w:val="000000"/>
                <w:sz w:val="20"/>
                <w:szCs w:val="20"/>
              </w:rPr>
              <w:t>žiakovi postupne začať učebnú činnosť.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814" w:rsidRPr="00360814" w:rsidRDefault="00217DE8" w:rsidP="00360814">
            <w:pPr>
              <w:pStyle w:val="Odsekzoznamu"/>
              <w:numPr>
                <w:ilvl w:val="0"/>
                <w:numId w:val="4"/>
              </w:num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Vytvorenie, resp. navodenie problémovej situácie.</w:t>
            </w:r>
          </w:p>
          <w:p w:rsidR="00360814" w:rsidRPr="00360814" w:rsidRDefault="00217DE8" w:rsidP="00360814">
            <w:pPr>
              <w:pStyle w:val="Odsekzoznamu"/>
              <w:numPr>
                <w:ilvl w:val="0"/>
                <w:numId w:val="4"/>
              </w:num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Pozorovanie reakcie a správania žiačok/žiakov.</w:t>
            </w:r>
          </w:p>
          <w:p w:rsidR="00360814" w:rsidRPr="00360814" w:rsidRDefault="00217DE8" w:rsidP="00360814">
            <w:pPr>
              <w:pStyle w:val="Odsekzoznamu"/>
              <w:numPr>
                <w:ilvl w:val="0"/>
                <w:numId w:val="4"/>
              </w:num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Identifikovanie úrovne ich schopnosti adekvátne reagovať na situáciu.</w:t>
            </w:r>
          </w:p>
          <w:p w:rsidR="004C7335" w:rsidRPr="00360814" w:rsidRDefault="00217DE8" w:rsidP="00360814">
            <w:pPr>
              <w:pStyle w:val="Odsekzoznamu"/>
              <w:numPr>
                <w:ilvl w:val="0"/>
                <w:numId w:val="4"/>
              </w:num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Stanovenie cieľov, toho, čo sa má žiačka/žiak naučiť/to, čo má rozvíjať.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814" w:rsidRPr="00360814" w:rsidRDefault="00217DE8" w:rsidP="00360814">
            <w:pPr>
              <w:pStyle w:val="Odsekzoznamu"/>
              <w:numPr>
                <w:ilvl w:val="0"/>
                <w:numId w:val="2"/>
              </w:num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Návrh problémových situácií/otázok/</w:t>
            </w:r>
          </w:p>
          <w:p w:rsidR="00360814" w:rsidRPr="00360814" w:rsidRDefault="00217DE8" w:rsidP="00360814">
            <w:pPr>
              <w:pStyle w:val="Odsekzoznamu"/>
              <w:spacing w:line="200" w:lineRule="exact"/>
              <w:ind w:left="360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príkladov a pod., ktoré podporia riešenie vstupného problému.</w:t>
            </w:r>
          </w:p>
          <w:p w:rsidR="00833FEE" w:rsidRPr="00612ABE" w:rsidRDefault="00833FEE" w:rsidP="00CF352F">
            <w:pPr>
              <w:pStyle w:val="Odsekzoznamu"/>
              <w:spacing w:line="200" w:lineRule="exact"/>
              <w:ind w:left="36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814" w:rsidRPr="00360814" w:rsidRDefault="00217DE8" w:rsidP="00360814">
            <w:pPr>
              <w:pStyle w:val="Odsekzoznamu"/>
              <w:numPr>
                <w:ilvl w:val="0"/>
                <w:numId w:val="3"/>
              </w:num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 xml:space="preserve">Aktivity umožňujúce pozitívne konštatovanie dosiahnutia vstupného cieľa. </w:t>
            </w:r>
          </w:p>
          <w:p w:rsidR="00833FEE" w:rsidRPr="00360814" w:rsidRDefault="00217DE8" w:rsidP="00360814">
            <w:pPr>
              <w:pStyle w:val="Odsekzoznamu"/>
              <w:numPr>
                <w:ilvl w:val="0"/>
                <w:numId w:val="3"/>
              </w:num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Aktivity umožňujúce uvedomenie si stupňa rozvoja kompetencií žiačok/žiakov.</w:t>
            </w:r>
          </w:p>
        </w:tc>
      </w:tr>
      <w:tr w:rsidR="005C0F22" w:rsidTr="00B0738F">
        <w:tc>
          <w:tcPr>
            <w:tcW w:w="1097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 xml:space="preserve">Počet činností na jednotlivé fázy 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</w:tr>
      <w:tr w:rsidR="005C0F22" w:rsidTr="00B0738F">
        <w:tc>
          <w:tcPr>
            <w:tcW w:w="1097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Čas potrebný na realizáciu fázy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="007C7518" w:rsidRPr="00612ABE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473132" w:rsidRPr="00612ABE">
              <w:rPr>
                <w:rFonts w:cstheme="minorHAnsi"/>
                <w:color w:val="000000"/>
                <w:sz w:val="20"/>
                <w:szCs w:val="20"/>
              </w:rPr>
              <w:t>minút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AC53BD" w:rsidRPr="00612ABE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473132" w:rsidRPr="00612ABE">
              <w:rPr>
                <w:rFonts w:cstheme="minorHAnsi"/>
                <w:color w:val="000000"/>
                <w:sz w:val="20"/>
                <w:szCs w:val="20"/>
              </w:rPr>
              <w:t xml:space="preserve"> minút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</w:t>
            </w:r>
            <w:r w:rsidR="00473132" w:rsidRPr="00612ABE">
              <w:rPr>
                <w:rFonts w:cstheme="minorHAnsi"/>
                <w:color w:val="000000"/>
                <w:sz w:val="20"/>
                <w:szCs w:val="20"/>
              </w:rPr>
              <w:t xml:space="preserve"> minút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20</w:t>
            </w:r>
            <w:r w:rsidR="00137EEB" w:rsidRPr="00612ABE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473132" w:rsidRPr="00612ABE">
              <w:rPr>
                <w:rFonts w:cstheme="minorHAnsi"/>
                <w:color w:val="000000"/>
                <w:sz w:val="20"/>
                <w:szCs w:val="20"/>
              </w:rPr>
              <w:t>minút</w:t>
            </w:r>
          </w:p>
        </w:tc>
      </w:tr>
      <w:tr w:rsidR="005C0F22" w:rsidTr="00B0738F">
        <w:tc>
          <w:tcPr>
            <w:tcW w:w="1097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Ciele jednotlivých činností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Motivácia – uvedomenie si toho, na čo všetko môžeme použiť peniaze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Počúvanie s porozumením. Pochopenie využitia peňazí na osobné, rodinné a spoločenské potreby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60814" w:rsidRPr="00360814" w:rsidRDefault="00217DE8" w:rsidP="00360814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 xml:space="preserve">Stanovenie priorít </w:t>
            </w:r>
          </w:p>
          <w:p w:rsidR="00360814" w:rsidRPr="00360814" w:rsidRDefault="00217DE8" w:rsidP="00360814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pri narábaní s peniazmi/</w:t>
            </w:r>
          </w:p>
          <w:p w:rsidR="00833FEE" w:rsidRPr="00612ABE" w:rsidRDefault="00217DE8" w:rsidP="00360814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pri rozdeľovaní peňazí.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>Rešpektovanie rozhodnutia iných</w:t>
            </w:r>
          </w:p>
        </w:tc>
      </w:tr>
      <w:tr w:rsidR="005C0F22" w:rsidTr="00B0738F">
        <w:tc>
          <w:tcPr>
            <w:tcW w:w="1097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Úlohy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612ABE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612ABE" w:rsidRDefault="00217DE8" w:rsidP="00CF352F">
            <w:pPr>
              <w:spacing w:line="20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</w:tr>
      <w:tr w:rsidR="005C0F22" w:rsidTr="00B0738F">
        <w:tc>
          <w:tcPr>
            <w:tcW w:w="1097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0F31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Varianty</w:t>
            </w:r>
          </w:p>
        </w:tc>
        <w:tc>
          <w:tcPr>
            <w:tcW w:w="3903" w:type="pct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0F31" w:rsidRPr="00612ABE" w:rsidRDefault="00217DE8" w:rsidP="00CF352F">
            <w:pPr>
              <w:spacing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360814">
              <w:rPr>
                <w:rFonts w:cstheme="minorHAnsi"/>
                <w:color w:val="000000"/>
                <w:sz w:val="20"/>
                <w:szCs w:val="20"/>
              </w:rPr>
              <w:t xml:space="preserve">Pri žiačkach a žiakoch s poruchami učenia, ponechá učiteľka/učiteľ, ak je to potrebné, dlhší čas na riešenie úloh. Pri vyjadrovaní názorov nemusia žiačky/žiaci s narušenou komunikačnou schopnosťou prezentovať svoj výstup.  Pri žiačkach/žiakoch s </w:t>
            </w:r>
            <w:proofErr w:type="spellStart"/>
            <w:r w:rsidRPr="00360814">
              <w:rPr>
                <w:rFonts w:cstheme="minorHAnsi"/>
                <w:color w:val="000000"/>
                <w:sz w:val="20"/>
                <w:szCs w:val="20"/>
              </w:rPr>
              <w:t>dyskalkúliou</w:t>
            </w:r>
            <w:proofErr w:type="spellEnd"/>
            <w:r w:rsidRPr="00360814">
              <w:rPr>
                <w:rFonts w:cstheme="minorHAnsi"/>
                <w:color w:val="000000"/>
                <w:sz w:val="20"/>
                <w:szCs w:val="20"/>
              </w:rPr>
              <w:t xml:space="preserve"> nemusia pochopiť grafický znak čísla (vyrieši a to s pomocou učiteľky/ učiteľa).</w:t>
            </w:r>
          </w:p>
        </w:tc>
      </w:tr>
      <w:tr w:rsidR="005C0F22" w:rsidTr="00B0738F">
        <w:tc>
          <w:tcPr>
            <w:tcW w:w="1097" w:type="pct"/>
            <w:shd w:val="clear" w:color="auto" w:fill="FFF2CC" w:themeFill="accent4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B73A5A" w:rsidRDefault="00217DE8" w:rsidP="00CF352F">
            <w:pPr>
              <w:spacing w:line="20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Typ hodnotenia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E36637" w:rsidRDefault="00833FEE" w:rsidP="00CF352F">
            <w:pPr>
              <w:spacing w:line="200" w:lineRule="exact"/>
              <w:rPr>
                <w:rFonts w:ascii="Verdana" w:hAnsi="Verdana" w:cstheme="minorHAnsi"/>
                <w:color w:val="000000"/>
              </w:rPr>
            </w:pP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E0915" w:rsidRPr="00E36637" w:rsidRDefault="00217DE8" w:rsidP="00CF352F">
            <w:pPr>
              <w:spacing w:line="200" w:lineRule="exact"/>
              <w:jc w:val="center"/>
              <w:rPr>
                <w:rFonts w:ascii="Verdana" w:hAnsi="Verdana" w:cstheme="minorHAnsi"/>
                <w:color w:val="000000"/>
              </w:rPr>
            </w:pPr>
            <w:proofErr w:type="spellStart"/>
            <w:r w:rsidRPr="00E36637">
              <w:rPr>
                <w:rFonts w:ascii="Verdana" w:hAnsi="Verdana" w:cstheme="minorHAnsi"/>
                <w:color w:val="000000"/>
              </w:rPr>
              <w:t>Sumatívne</w:t>
            </w:r>
            <w:proofErr w:type="spellEnd"/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E36637" w:rsidRDefault="00217DE8" w:rsidP="00CF352F">
            <w:pPr>
              <w:spacing w:line="200" w:lineRule="exact"/>
              <w:jc w:val="center"/>
              <w:rPr>
                <w:rFonts w:ascii="Verdana" w:hAnsi="Verdana" w:cstheme="minorHAnsi"/>
                <w:color w:val="000000"/>
              </w:rPr>
            </w:pPr>
            <w:proofErr w:type="spellStart"/>
            <w:r w:rsidRPr="00E36637">
              <w:rPr>
                <w:rFonts w:ascii="Verdana" w:hAnsi="Verdana" w:cstheme="minorHAnsi"/>
                <w:color w:val="000000"/>
              </w:rPr>
              <w:t>Format</w:t>
            </w:r>
            <w:r w:rsidR="00BE0915" w:rsidRPr="00E36637">
              <w:rPr>
                <w:rFonts w:ascii="Verdana" w:hAnsi="Verdana" w:cstheme="minorHAnsi"/>
                <w:color w:val="000000"/>
              </w:rPr>
              <w:t>ívne</w:t>
            </w:r>
            <w:proofErr w:type="spellEnd"/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33FEE" w:rsidRPr="00E36637" w:rsidRDefault="00217DE8" w:rsidP="00CF352F">
            <w:pPr>
              <w:spacing w:line="200" w:lineRule="exact"/>
              <w:jc w:val="center"/>
              <w:rPr>
                <w:rFonts w:ascii="Verdana" w:hAnsi="Verdana" w:cstheme="minorHAnsi"/>
                <w:color w:val="000000"/>
              </w:rPr>
            </w:pPr>
            <w:proofErr w:type="spellStart"/>
            <w:r w:rsidRPr="00E36637">
              <w:rPr>
                <w:rFonts w:ascii="Verdana" w:hAnsi="Verdana" w:cstheme="minorHAnsi"/>
                <w:color w:val="000000"/>
              </w:rPr>
              <w:t>Su</w:t>
            </w:r>
            <w:r w:rsidR="005A2C12" w:rsidRPr="00E36637">
              <w:rPr>
                <w:rFonts w:ascii="Verdana" w:hAnsi="Verdana" w:cstheme="minorHAnsi"/>
                <w:color w:val="000000"/>
              </w:rPr>
              <w:t>m</w:t>
            </w:r>
            <w:r w:rsidR="00BE0915" w:rsidRPr="00E36637">
              <w:rPr>
                <w:rFonts w:ascii="Verdana" w:hAnsi="Verdana" w:cstheme="minorHAnsi"/>
                <w:color w:val="000000"/>
              </w:rPr>
              <w:t>atívne</w:t>
            </w:r>
            <w:proofErr w:type="spellEnd"/>
          </w:p>
        </w:tc>
      </w:tr>
    </w:tbl>
    <w:p w:rsidR="00264FD0" w:rsidRPr="00E36637" w:rsidRDefault="00264FD0" w:rsidP="00963851">
      <w:pPr>
        <w:pStyle w:val="Nadpis2"/>
        <w:shd w:val="clear" w:color="auto" w:fill="FFFFFF"/>
        <w:spacing w:before="0" w:beforeAutospacing="0" w:after="120" w:afterAutospacing="0" w:line="192" w:lineRule="auto"/>
        <w:rPr>
          <w:rFonts w:ascii="Verdana" w:hAnsi="Verdana" w:cstheme="minorHAnsi"/>
          <w:color w:val="000000"/>
        </w:rPr>
      </w:pPr>
    </w:p>
    <w:p w:rsidR="00392C0D" w:rsidRPr="00612ABE" w:rsidRDefault="009A0EDA" w:rsidP="00482014">
      <w:pPr>
        <w:shd w:val="clear" w:color="auto" w:fill="FFFFFF"/>
        <w:spacing w:line="240" w:lineRule="auto"/>
        <w:ind w:left="1134"/>
        <w:jc w:val="both"/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63360" behindDoc="0" locked="0" layoutInCell="1" allowOverlap="1" wp14:anchorId="6C1B2260" wp14:editId="6802BF66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539750" cy="539750"/>
            <wp:effectExtent l="0" t="0" r="0" b="0"/>
            <wp:wrapNone/>
            <wp:docPr id="46" name="Obrázo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449752" name="odpoveajt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4DCE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1:</w:t>
      </w:r>
      <w:r w:rsidR="00144DCE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:rsidR="00360814" w:rsidRPr="00C00AB9" w:rsidRDefault="00217DE8" w:rsidP="00360814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lang w:eastAsia="sk-SK"/>
        </w:rPr>
      </w:pPr>
      <w:r w:rsidRPr="00C00AB9">
        <w:rPr>
          <w:rFonts w:eastAsia="Times New Roman" w:cstheme="minorHAnsi"/>
          <w:color w:val="000000"/>
          <w:lang w:eastAsia="sk-SK"/>
        </w:rPr>
        <w:t>Predstavte si, že na narodeniny dostanete od rodičov alebo starých rodičov peniaze.</w:t>
      </w:r>
    </w:p>
    <w:p w:rsidR="00360814" w:rsidRPr="00C00AB9" w:rsidRDefault="00217DE8" w:rsidP="00340132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lang w:eastAsia="sk-SK"/>
        </w:rPr>
      </w:pPr>
      <w:r w:rsidRPr="00C00AB9">
        <w:rPr>
          <w:rFonts w:eastAsia="Times New Roman" w:cstheme="minorHAnsi"/>
          <w:color w:val="000000"/>
          <w:lang w:eastAsia="sk-SK"/>
        </w:rPr>
        <w:t>Čo s nimi spravíte?</w:t>
      </w:r>
      <w:r w:rsidR="00340132" w:rsidRPr="00C00AB9">
        <w:rPr>
          <w:rFonts w:eastAsia="Times New Roman" w:cstheme="minorHAnsi"/>
          <w:color w:val="000000"/>
          <w:lang w:eastAsia="sk-SK"/>
        </w:rPr>
        <w:t xml:space="preserve"> </w:t>
      </w:r>
      <w:r w:rsidRPr="00C00AB9">
        <w:rPr>
          <w:rFonts w:eastAsia="Times New Roman" w:cstheme="minorHAnsi"/>
          <w:color w:val="000000"/>
          <w:lang w:eastAsia="sk-SK"/>
        </w:rPr>
        <w:t>Miniete ich hneď, alebo plánujete na čo peniaze použijete?</w:t>
      </w:r>
    </w:p>
    <w:p w:rsidR="00360814" w:rsidRPr="00C00AB9" w:rsidRDefault="00217DE8" w:rsidP="00360814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lang w:eastAsia="sk-SK"/>
        </w:rPr>
      </w:pPr>
      <w:r w:rsidRPr="00C00AB9">
        <w:rPr>
          <w:rFonts w:eastAsia="Times New Roman" w:cstheme="minorHAnsi"/>
          <w:color w:val="000000"/>
          <w:lang w:eastAsia="sk-SK"/>
        </w:rPr>
        <w:t>Je niečo, čo by ste si chceli kúpiť, no momentálne na to nemáte dostatok našetrených peňazí?</w:t>
      </w:r>
    </w:p>
    <w:p w:rsidR="00B244A8" w:rsidRPr="00C00AB9" w:rsidRDefault="00217DE8" w:rsidP="00B244A8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lang w:eastAsia="sk-SK"/>
        </w:rPr>
      </w:pPr>
      <w:r w:rsidRPr="00C00AB9">
        <w:rPr>
          <w:rFonts w:eastAsia="Times New Roman" w:cstheme="minorHAnsi"/>
          <w:color w:val="000000"/>
          <w:lang w:eastAsia="sk-SK"/>
        </w:rPr>
        <w:t>Viete, že peniaze môžeme aj darovať a tak pomôcť iným?</w:t>
      </w:r>
    </w:p>
    <w:p w:rsidR="00B244A8" w:rsidRPr="00C00AB9" w:rsidRDefault="00B244A8" w:rsidP="00B244A8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lang w:eastAsia="sk-SK"/>
        </w:rPr>
      </w:pPr>
      <w:r w:rsidRPr="00C00AB9">
        <w:rPr>
          <w:rFonts w:cstheme="minorHAnsi"/>
          <w:color w:val="000000"/>
        </w:rPr>
        <w:t>Učiteľka/učiteľ si overí, či žiačky/žiaci poznajú základné pojmy .</w:t>
      </w:r>
    </w:p>
    <w:p w:rsidR="00B244A8" w:rsidRPr="00C950A3" w:rsidRDefault="00B244A8" w:rsidP="00360814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sz w:val="20"/>
          <w:szCs w:val="20"/>
          <w:lang w:eastAsia="sk-SK"/>
        </w:rPr>
      </w:pPr>
    </w:p>
    <w:p w:rsidR="00727246" w:rsidRPr="00E36637" w:rsidRDefault="00727246" w:rsidP="00482014">
      <w:pPr>
        <w:shd w:val="clear" w:color="auto" w:fill="FFFFFF"/>
        <w:spacing w:after="0" w:line="240" w:lineRule="auto"/>
        <w:ind w:left="1134"/>
        <w:jc w:val="both"/>
        <w:rPr>
          <w:rFonts w:ascii="Verdana" w:eastAsia="Times New Roman" w:hAnsi="Verdana" w:cstheme="minorHAnsi"/>
          <w:color w:val="000000"/>
          <w:sz w:val="20"/>
          <w:szCs w:val="20"/>
          <w:lang w:eastAsia="sk-SK"/>
        </w:rPr>
      </w:pPr>
    </w:p>
    <w:p w:rsidR="00392C0D" w:rsidRPr="00612ABE" w:rsidRDefault="00217DE8" w:rsidP="00482014">
      <w:pPr>
        <w:spacing w:line="240" w:lineRule="auto"/>
        <w:ind w:left="1134"/>
        <w:rPr>
          <w:rFonts w:ascii="Verdana" w:eastAsia="Times New Roman" w:hAnsi="Verdana" w:cstheme="minorHAnsi"/>
          <w:b/>
          <w:color w:val="1F4E79" w:themeColor="accent1" w:themeShade="80"/>
          <w:sz w:val="20"/>
          <w:szCs w:val="20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539750" cy="539750"/>
            <wp:effectExtent l="0" t="0" r="0" b="0"/>
            <wp:wrapNone/>
            <wp:docPr id="51" name="Obrázo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777224" name="pracuj vo dvojic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4DCE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 xml:space="preserve">Fáza </w:t>
      </w:r>
      <w:r w:rsidR="004A5A69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2:</w:t>
      </w:r>
      <w:r w:rsidR="00EE382C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:rsidR="00360814" w:rsidRPr="00C00AB9" w:rsidRDefault="00217DE8" w:rsidP="00360814">
      <w:pPr>
        <w:spacing w:after="0" w:line="240" w:lineRule="auto"/>
        <w:ind w:left="1134"/>
        <w:jc w:val="both"/>
        <w:rPr>
          <w:rFonts w:eastAsia="Times New Roman" w:cstheme="minorHAnsi"/>
          <w:lang w:eastAsia="sk-SK"/>
        </w:rPr>
      </w:pPr>
      <w:bookmarkStart w:id="1" w:name="_GoBack"/>
      <w:r w:rsidRPr="00C00AB9">
        <w:rPr>
          <w:rFonts w:eastAsia="Times New Roman" w:cstheme="minorHAnsi"/>
          <w:lang w:eastAsia="sk-SK"/>
        </w:rPr>
        <w:t xml:space="preserve">Žiačky/žiaci </w:t>
      </w:r>
      <w:r w:rsidR="001A0A3B" w:rsidRPr="00C00AB9">
        <w:rPr>
          <w:rFonts w:eastAsia="Times New Roman" w:cstheme="minorHAnsi"/>
          <w:lang w:eastAsia="sk-SK"/>
        </w:rPr>
        <w:t>riešia</w:t>
      </w:r>
      <w:r w:rsidR="00135B1F" w:rsidRPr="00C00AB9">
        <w:rPr>
          <w:rFonts w:eastAsia="Times New Roman" w:cstheme="minorHAnsi"/>
          <w:lang w:eastAsia="sk-SK"/>
        </w:rPr>
        <w:t xml:space="preserve"> modelovú situáciu „Čo sa dá kúpiť za 5 eur“</w:t>
      </w:r>
      <w:r w:rsidR="001A0A3B" w:rsidRPr="00C00AB9">
        <w:rPr>
          <w:rFonts w:eastAsia="Times New Roman" w:cstheme="minorHAnsi"/>
          <w:lang w:eastAsia="sk-SK"/>
        </w:rPr>
        <w:t xml:space="preserve">. </w:t>
      </w:r>
    </w:p>
    <w:p w:rsidR="00B244A8" w:rsidRPr="00C00AB9" w:rsidRDefault="00217DE8" w:rsidP="00B244A8">
      <w:pPr>
        <w:spacing w:after="0" w:line="240" w:lineRule="auto"/>
        <w:ind w:left="1134"/>
        <w:jc w:val="both"/>
        <w:rPr>
          <w:rFonts w:eastAsia="Times New Roman" w:cstheme="minorHAnsi"/>
          <w:lang w:eastAsia="sk-SK"/>
        </w:rPr>
      </w:pPr>
      <w:r w:rsidRPr="00C00AB9">
        <w:rPr>
          <w:rFonts w:eastAsia="Times New Roman" w:cstheme="minorHAnsi"/>
          <w:lang w:eastAsia="sk-SK"/>
        </w:rPr>
        <w:t xml:space="preserve">Učiteľka/učiteľ zisťuje, </w:t>
      </w:r>
      <w:r w:rsidR="001A0A3B" w:rsidRPr="00C00AB9">
        <w:rPr>
          <w:rFonts w:eastAsia="Times New Roman" w:cstheme="minorHAnsi"/>
          <w:lang w:eastAsia="sk-SK"/>
        </w:rPr>
        <w:t>aké predstavy majú žiačky/žiaci o</w:t>
      </w:r>
      <w:r w:rsidR="00340132" w:rsidRPr="00C00AB9">
        <w:rPr>
          <w:rFonts w:eastAsia="Times New Roman" w:cstheme="minorHAnsi"/>
          <w:lang w:eastAsia="sk-SK"/>
        </w:rPr>
        <w:t> hodnotách vecí z ich reálneho života.</w:t>
      </w:r>
    </w:p>
    <w:p w:rsidR="00B244A8" w:rsidRPr="00C00AB9" w:rsidRDefault="00B244A8" w:rsidP="00B244A8">
      <w:pPr>
        <w:spacing w:after="0" w:line="240" w:lineRule="auto"/>
        <w:ind w:left="1134"/>
        <w:jc w:val="both"/>
        <w:rPr>
          <w:rFonts w:eastAsia="Times New Roman" w:cstheme="minorHAnsi"/>
          <w:lang w:eastAsia="sk-SK"/>
        </w:rPr>
      </w:pPr>
      <w:r w:rsidRPr="00C00AB9">
        <w:rPr>
          <w:rFonts w:cstheme="minorHAnsi"/>
        </w:rPr>
        <w:t xml:space="preserve">Učiteľka/učiteľ </w:t>
      </w:r>
      <w:bookmarkEnd w:id="1"/>
      <w:r w:rsidRPr="00C00AB9">
        <w:rPr>
          <w:rFonts w:cstheme="minorHAnsi"/>
        </w:rPr>
        <w:t xml:space="preserve">rozdelí žiačky/žiakov  do skupín. Žiačky/žiaci zakrúžkujú z ponúkaného zoznamu to, čo sa podľa nich  dá kúpiť do sumy 5 €. </w:t>
      </w:r>
    </w:p>
    <w:p w:rsidR="00B244A8" w:rsidRDefault="00B244A8" w:rsidP="00C00AB9">
      <w:pPr>
        <w:spacing w:after="0" w:line="240" w:lineRule="auto"/>
        <w:ind w:left="1134"/>
        <w:jc w:val="both"/>
        <w:rPr>
          <w:rFonts w:ascii="Verdana" w:eastAsia="Times New Roman" w:hAnsi="Verdana" w:cstheme="minorHAnsi"/>
          <w:b/>
          <w:color w:val="000000"/>
          <w:sz w:val="20"/>
          <w:szCs w:val="20"/>
          <w:lang w:eastAsia="sk-SK"/>
        </w:rPr>
      </w:pPr>
    </w:p>
    <w:p w:rsidR="00C00AB9" w:rsidRPr="00C00AB9" w:rsidRDefault="00C00AB9" w:rsidP="00C00AB9">
      <w:pPr>
        <w:spacing w:after="0" w:line="240" w:lineRule="auto"/>
        <w:ind w:left="1134"/>
        <w:jc w:val="both"/>
        <w:rPr>
          <w:rFonts w:ascii="Verdana" w:eastAsia="Times New Roman" w:hAnsi="Verdana" w:cstheme="minorHAnsi"/>
          <w:b/>
          <w:color w:val="000000"/>
          <w:sz w:val="20"/>
          <w:szCs w:val="20"/>
          <w:lang w:eastAsia="sk-SK"/>
        </w:rPr>
      </w:pPr>
    </w:p>
    <w:p w:rsidR="00392C0D" w:rsidRPr="00E36637" w:rsidRDefault="00217DE8" w:rsidP="00482014">
      <w:pPr>
        <w:spacing w:line="240" w:lineRule="auto"/>
        <w:ind w:left="1134"/>
        <w:jc w:val="both"/>
        <w:rPr>
          <w:rFonts w:ascii="Verdana" w:eastAsia="Times New Roman" w:hAnsi="Verdana" w:cstheme="minorHAnsi"/>
          <w:color w:val="000000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534556" cy="534556"/>
            <wp:effectExtent l="0" t="0" r="0" b="0"/>
            <wp:wrapNone/>
            <wp:docPr id="54" name="Obrázo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777617" name="zoznam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556" cy="534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8C6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3:</w:t>
      </w:r>
      <w:r w:rsidR="004D0793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:rsidR="00340132" w:rsidRPr="00C00AB9" w:rsidRDefault="00217DE8" w:rsidP="00C00AB9">
      <w:pPr>
        <w:spacing w:after="0" w:line="240" w:lineRule="auto"/>
        <w:ind w:left="1134"/>
        <w:jc w:val="both"/>
        <w:rPr>
          <w:rFonts w:eastAsia="Times New Roman" w:cstheme="minorHAnsi"/>
          <w:color w:val="000000"/>
          <w:lang w:eastAsia="sk-SK"/>
        </w:rPr>
      </w:pPr>
      <w:r w:rsidRPr="00C00AB9">
        <w:rPr>
          <w:rFonts w:eastAsia="Times New Roman" w:cstheme="minorHAnsi"/>
          <w:color w:val="000000"/>
          <w:lang w:eastAsia="sk-SK"/>
        </w:rPr>
        <w:t xml:space="preserve">Žiačky/žiaci dostanú imaginárny balík </w:t>
      </w:r>
      <w:r w:rsidR="0019063F" w:rsidRPr="00C00AB9">
        <w:rPr>
          <w:rFonts w:eastAsia="Times New Roman" w:cstheme="minorHAnsi"/>
          <w:color w:val="000000"/>
          <w:lang w:eastAsia="sk-SK"/>
        </w:rPr>
        <w:t>2</w:t>
      </w:r>
      <w:r w:rsidRPr="00C00AB9">
        <w:rPr>
          <w:rFonts w:eastAsia="Times New Roman" w:cstheme="minorHAnsi"/>
          <w:color w:val="000000"/>
          <w:lang w:eastAsia="sk-SK"/>
        </w:rPr>
        <w:t>0 eur. Tento balík peňazí majú použiť tak, aby si niečo kúpili, niečo ušetrili a časť peňazí darovali, venovali na charitu. Ako prvé žiačky/žiaci uvažujú, na čo by peniaze minuli. Ich úlohou je vytvoriť zoznam vecí, ktoré by si chceli kúpiť hneď a ktorých kúpu vedia odložiť na neskôr. Zistia, že pri míňaní peňazí musíme mať určité priority, pretože si nemôžeme väčšinou dovoliť všetko, čo by sme v danom momente chceli. Uvažujú teda o</w:t>
      </w:r>
      <w:r w:rsidR="008248AB" w:rsidRPr="00C00AB9">
        <w:rPr>
          <w:rFonts w:eastAsia="Times New Roman" w:cstheme="minorHAnsi"/>
          <w:color w:val="000000"/>
          <w:lang w:eastAsia="sk-SK"/>
        </w:rPr>
        <w:t> </w:t>
      </w:r>
      <w:r w:rsidRPr="00C00AB9">
        <w:rPr>
          <w:rFonts w:eastAsia="Times New Roman" w:cstheme="minorHAnsi"/>
          <w:color w:val="000000"/>
          <w:lang w:eastAsia="sk-SK"/>
        </w:rPr>
        <w:t>šetrení</w:t>
      </w:r>
      <w:r w:rsidR="008248AB" w:rsidRPr="00C00AB9">
        <w:rPr>
          <w:rFonts w:eastAsia="Times New Roman" w:cstheme="minorHAnsi"/>
          <w:color w:val="000000"/>
          <w:lang w:eastAsia="sk-SK"/>
        </w:rPr>
        <w:t>,</w:t>
      </w:r>
      <w:r w:rsidRPr="00C00AB9">
        <w:rPr>
          <w:rFonts w:eastAsia="Times New Roman" w:cstheme="minorHAnsi"/>
          <w:color w:val="000000"/>
          <w:lang w:eastAsia="sk-SK"/>
        </w:rPr>
        <w:t xml:space="preserve"> vyberú</w:t>
      </w:r>
      <w:r w:rsidR="008248AB" w:rsidRPr="00C00AB9">
        <w:rPr>
          <w:rFonts w:eastAsia="Times New Roman" w:cstheme="minorHAnsi"/>
          <w:color w:val="000000"/>
          <w:lang w:eastAsia="sk-SK"/>
        </w:rPr>
        <w:t xml:space="preserve"> si</w:t>
      </w:r>
      <w:r w:rsidRPr="00C00AB9">
        <w:rPr>
          <w:rFonts w:eastAsia="Times New Roman" w:cstheme="minorHAnsi"/>
          <w:color w:val="000000"/>
          <w:lang w:eastAsia="sk-SK"/>
        </w:rPr>
        <w:t xml:space="preserve"> vec, na ktorú chcú šetriť. Rozprávajú sa a uvedomia si, že darovaním peňazí pomôžu iným a zároveň budú mať dobrý pocit z vykonaného dobrého skutku</w:t>
      </w:r>
      <w:r w:rsidR="00D500F0" w:rsidRPr="00C00AB9">
        <w:rPr>
          <w:rFonts w:eastAsia="Times New Roman" w:cstheme="minorHAnsi"/>
          <w:color w:val="000000"/>
          <w:lang w:eastAsia="sk-SK"/>
        </w:rPr>
        <w:t>. Zisťujeme,</w:t>
      </w:r>
      <w:r w:rsidRPr="00C00AB9">
        <w:rPr>
          <w:rFonts w:eastAsia="Times New Roman" w:cstheme="minorHAnsi"/>
          <w:color w:val="000000"/>
          <w:lang w:eastAsia="sk-SK"/>
        </w:rPr>
        <w:t xml:space="preserve"> či porozumeli  základným pojmom – zarábanie, šetrenie, utrácanie, darovanie.</w:t>
      </w:r>
    </w:p>
    <w:p w:rsidR="00D500F0" w:rsidRDefault="00D500F0" w:rsidP="00C00AB9">
      <w:pPr>
        <w:shd w:val="clear" w:color="auto" w:fill="FFFFFF"/>
        <w:spacing w:after="0" w:line="240" w:lineRule="auto"/>
        <w:ind w:left="1134"/>
        <w:rPr>
          <w:rFonts w:ascii="Verdana" w:eastAsia="Times New Roman" w:hAnsi="Verdana" w:cstheme="minorHAnsi"/>
          <w:b/>
          <w:color w:val="1F4E79" w:themeColor="accent1" w:themeShade="80"/>
          <w:sz w:val="20"/>
          <w:szCs w:val="20"/>
          <w:lang w:eastAsia="sk-SK"/>
        </w:rPr>
      </w:pPr>
    </w:p>
    <w:p w:rsidR="00C00AB9" w:rsidRPr="00C00AB9" w:rsidRDefault="00C00AB9" w:rsidP="00C00AB9">
      <w:pPr>
        <w:shd w:val="clear" w:color="auto" w:fill="FFFFFF"/>
        <w:spacing w:after="0" w:line="240" w:lineRule="auto"/>
        <w:ind w:left="1134"/>
        <w:rPr>
          <w:rFonts w:ascii="Verdana" w:eastAsia="Times New Roman" w:hAnsi="Verdana" w:cstheme="minorHAnsi"/>
          <w:b/>
          <w:color w:val="1F4E79" w:themeColor="accent1" w:themeShade="80"/>
          <w:sz w:val="20"/>
          <w:szCs w:val="20"/>
          <w:lang w:eastAsia="sk-SK"/>
        </w:rPr>
      </w:pPr>
    </w:p>
    <w:p w:rsidR="00773C57" w:rsidRDefault="009A0EDA" w:rsidP="00773C57">
      <w:pPr>
        <w:shd w:val="clear" w:color="auto" w:fill="FFFFFF"/>
        <w:spacing w:after="240" w:line="240" w:lineRule="auto"/>
        <w:ind w:left="1134"/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360C342F" wp14:editId="0D3AAE18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539750" cy="53975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9387" name="pracuj vo dvojic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7DE8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4:</w:t>
      </w:r>
      <w:r w:rsidR="00217DE8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:rsidR="008248AB" w:rsidRPr="00C00AB9" w:rsidRDefault="00217DE8" w:rsidP="00DD1A98">
      <w:pPr>
        <w:pStyle w:val="Normlnywebov"/>
        <w:spacing w:before="0" w:beforeAutospacing="0" w:after="375" w:afterAutospacing="0"/>
        <w:ind w:left="113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00AB9">
        <w:rPr>
          <w:rFonts w:asciiTheme="minorHAnsi" w:hAnsiTheme="minorHAnsi" w:cstheme="minorHAnsi"/>
          <w:color w:val="000000"/>
          <w:sz w:val="22"/>
          <w:szCs w:val="22"/>
        </w:rPr>
        <w:t>Zahrajte sa s deťmi na obchod. Hra na obchod je pre deti vhodná, aj keď ešte nevedia počítať. Pre začiatok stačí, aby pochopili princíp „niečo za niečo“</w:t>
      </w:r>
      <w:r w:rsidR="00D500F0" w:rsidRPr="00C00AB9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DD1A98" w:rsidRPr="00C00AB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00AB9">
        <w:rPr>
          <w:rFonts w:asciiTheme="minorHAnsi" w:hAnsiTheme="minorHAnsi" w:cstheme="minorHAnsi"/>
          <w:color w:val="000000"/>
          <w:sz w:val="22"/>
          <w:szCs w:val="22"/>
        </w:rPr>
        <w:t xml:space="preserve">Prostredníctvom tejto hry  pomôžete </w:t>
      </w:r>
      <w:r w:rsidR="009B2EB1" w:rsidRPr="00C00AB9">
        <w:rPr>
          <w:rFonts w:asciiTheme="minorHAnsi" w:hAnsiTheme="minorHAnsi" w:cstheme="minorHAnsi"/>
          <w:color w:val="000000"/>
          <w:sz w:val="22"/>
          <w:szCs w:val="22"/>
        </w:rPr>
        <w:t xml:space="preserve">žiakom </w:t>
      </w:r>
      <w:r w:rsidRPr="00C00AB9">
        <w:rPr>
          <w:rFonts w:asciiTheme="minorHAnsi" w:hAnsiTheme="minorHAnsi" w:cstheme="minorHAnsi"/>
          <w:color w:val="000000"/>
          <w:sz w:val="22"/>
          <w:szCs w:val="22"/>
        </w:rPr>
        <w:t>uvedomiť si skutočnosť, že peňazí máme vždy obmedzené množstvo a preto sa musíme rozhodnúť, čo si kúpime.</w:t>
      </w:r>
      <w:r w:rsidR="00DD1A98" w:rsidRPr="00C00AB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D1A98" w:rsidRPr="00C00AB9">
        <w:rPr>
          <w:rFonts w:asciiTheme="minorHAnsi" w:hAnsiTheme="minorHAnsi" w:cstheme="minorHAnsi"/>
          <w:bCs/>
          <w:sz w:val="22"/>
          <w:szCs w:val="22"/>
        </w:rPr>
        <w:t>Ak chceme deťom zrozumiteľne vysvetliť načo peniaze slúžia, hra na obchod je skvelým spôsobom, ako na to.</w:t>
      </w:r>
      <w:r w:rsidR="00DD1A98" w:rsidRPr="00C00AB9">
        <w:rPr>
          <w:rFonts w:asciiTheme="minorHAnsi" w:hAnsiTheme="minorHAnsi" w:cstheme="minorHAnsi"/>
          <w:color w:val="000000"/>
          <w:sz w:val="22"/>
          <w:szCs w:val="22"/>
        </w:rPr>
        <w:t xml:space="preserve"> Pomocou nej dokážu lepšie pochopiť účel peňazí, respektíve ich výmenu za daný tovar. </w:t>
      </w:r>
      <w:r w:rsidR="00DD1A98" w:rsidRPr="00C00AB9">
        <w:rPr>
          <w:rFonts w:asciiTheme="minorHAnsi" w:hAnsiTheme="minorHAnsi" w:cstheme="minorHAnsi"/>
          <w:bCs/>
          <w:sz w:val="22"/>
          <w:szCs w:val="22"/>
        </w:rPr>
        <w:t>Pripravte si rozličné predmety, ktoré budete „predávať“ alebo „nakupovať“ a priraďte k nim cenovky</w:t>
      </w:r>
      <w:r w:rsidR="00DD1A98" w:rsidRPr="00C00AB9">
        <w:rPr>
          <w:rFonts w:asciiTheme="minorHAnsi" w:hAnsiTheme="minorHAnsi" w:cstheme="minorHAnsi"/>
          <w:color w:val="000000"/>
          <w:sz w:val="22"/>
          <w:szCs w:val="22"/>
        </w:rPr>
        <w:t>. Snažte sa pritom priblížiť reálnej cene tovaru, aby ste dieťa príliš nepomýlili a naučili ho zároveň o hodnote konkrétnych vecí. Pripravte si  fiktívne peniaze, makety, vymieňajte si úlohy predavača a zákazníka.</w:t>
      </w:r>
      <w:bookmarkEnd w:id="0"/>
    </w:p>
    <w:sectPr w:rsidR="008248AB" w:rsidRPr="00C00AB9" w:rsidSect="00BE308D">
      <w:headerReference w:type="default" r:id="rId12"/>
      <w:footerReference w:type="default" r:id="rId13"/>
      <w:pgSz w:w="16838" w:h="11906" w:orient="landscape" w:code="9"/>
      <w:pgMar w:top="1418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109" w:rsidRDefault="00657109">
      <w:pPr>
        <w:spacing w:after="0" w:line="240" w:lineRule="auto"/>
      </w:pPr>
      <w:r>
        <w:separator/>
      </w:r>
    </w:p>
  </w:endnote>
  <w:endnote w:type="continuationSeparator" w:id="0">
    <w:p w:rsidR="00657109" w:rsidRDefault="0065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03" w:rsidRPr="00943F41" w:rsidRDefault="00D27B03" w:rsidP="00D27B03">
    <w:pPr>
      <w:pStyle w:val="Pta"/>
      <w:tabs>
        <w:tab w:val="left" w:pos="4813"/>
      </w:tabs>
      <w:rPr>
        <w:rFonts w:ascii="Verdana" w:hAnsi="Verdana"/>
        <w:b/>
        <w:sz w:val="18"/>
        <w:szCs w:val="18"/>
      </w:rPr>
    </w:pPr>
    <w:r w:rsidRPr="00943F41">
      <w:rPr>
        <w:rFonts w:ascii="Verdana" w:hAnsi="Verdana"/>
        <w:b/>
        <w:sz w:val="18"/>
        <w:szCs w:val="18"/>
      </w:rPr>
      <w:t>Návrh metodického listu:</w:t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b/>
        <w:sz w:val="18"/>
        <w:szCs w:val="18"/>
      </w:rPr>
      <w:t>Autor metodického listu:</w:t>
    </w:r>
  </w:p>
  <w:p w:rsidR="00D27B03" w:rsidRPr="00943F41" w:rsidRDefault="00D27B03" w:rsidP="00D27B03">
    <w:pPr>
      <w:pStyle w:val="Pta"/>
      <w:rPr>
        <w:rFonts w:ascii="Verdana" w:hAnsi="Verdana"/>
        <w:sz w:val="18"/>
        <w:szCs w:val="18"/>
      </w:rPr>
    </w:pP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68BD0BC3" wp14:editId="3779284F">
          <wp:simplePos x="0" y="0"/>
          <wp:positionH relativeFrom="column">
            <wp:posOffset>7938135</wp:posOffset>
          </wp:positionH>
          <wp:positionV relativeFrom="page">
            <wp:posOffset>6743700</wp:posOffset>
          </wp:positionV>
          <wp:extent cx="1854000" cy="792000"/>
          <wp:effectExtent l="0" t="0" r="0" b="825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000" cy="7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2" w:name="_Hlk79497557"/>
    <w:bookmarkStart w:id="3" w:name="_Hlk79498104"/>
    <w:r w:rsidRPr="00943F41">
      <w:rPr>
        <w:rFonts w:ascii="Verdana" w:hAnsi="Verdana"/>
        <w:sz w:val="18"/>
        <w:szCs w:val="18"/>
      </w:rPr>
      <w:t xml:space="preserve">Darina </w:t>
    </w:r>
    <w:proofErr w:type="spellStart"/>
    <w:r w:rsidRPr="00943F41">
      <w:rPr>
        <w:rFonts w:ascii="Verdana" w:hAnsi="Verdana"/>
        <w:sz w:val="18"/>
        <w:szCs w:val="18"/>
      </w:rPr>
      <w:t>DeJaegher</w:t>
    </w:r>
    <w:proofErr w:type="spellEnd"/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  <w:t xml:space="preserve">Jana </w:t>
    </w:r>
    <w:proofErr w:type="spellStart"/>
    <w:r w:rsidRPr="00943F41">
      <w:rPr>
        <w:rFonts w:ascii="Verdana" w:hAnsi="Verdana"/>
        <w:sz w:val="18"/>
        <w:szCs w:val="18"/>
      </w:rPr>
      <w:t>Kovaľová</w:t>
    </w:r>
    <w:bookmarkEnd w:id="2"/>
    <w:proofErr w:type="spellEnd"/>
    <w:r>
      <w:rPr>
        <w:rFonts w:ascii="Verdana" w:hAnsi="Verdana"/>
        <w:sz w:val="18"/>
        <w:szCs w:val="18"/>
      </w:rPr>
      <w:t>/</w:t>
    </w:r>
    <w:bookmarkEnd w:id="3"/>
  </w:p>
  <w:p w:rsidR="001E7DCE" w:rsidRPr="00943F41" w:rsidRDefault="00D27B03" w:rsidP="00D27B03">
    <w:pPr>
      <w:pStyle w:val="Pta"/>
      <w:rPr>
        <w:rFonts w:ascii="Verdana" w:eastAsiaTheme="minorEastAsia" w:hAnsi="Verdana"/>
        <w:sz w:val="18"/>
        <w:szCs w:val="18"/>
      </w:rPr>
    </w:pPr>
    <w:bookmarkStart w:id="4" w:name="_Hlk79498115"/>
    <w:r w:rsidRPr="00943F41">
      <w:rPr>
        <w:rFonts w:ascii="Verdana" w:hAnsi="Verdana"/>
        <w:sz w:val="18"/>
        <w:szCs w:val="18"/>
      </w:rPr>
      <w:t>Ivana Gregorová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  <w:t>Alena Pešinová</w:t>
    </w:r>
    <w:bookmarkEnd w:id="4"/>
    <w:r w:rsidRPr="00943F41">
      <w:rPr>
        <w:rFonts w:ascii="Verdana" w:hAnsi="Verdana"/>
        <w:sz w:val="18"/>
        <w:szCs w:val="18"/>
      </w:rPr>
      <w:ptab w:relativeTo="margin" w:alignment="center" w:leader="none"/>
    </w:r>
    <w:r w:rsidR="00217DE8" w:rsidRPr="00943F41">
      <w:rPr>
        <w:rFonts w:ascii="Verdana" w:hAnsi="Verdana"/>
        <w:sz w:val="18"/>
        <w:szCs w:val="18"/>
      </w:rPr>
      <w:tab/>
    </w:r>
    <w:r w:rsidR="00217DE8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109" w:rsidRDefault="00657109">
      <w:pPr>
        <w:spacing w:after="0" w:line="240" w:lineRule="auto"/>
      </w:pPr>
      <w:r>
        <w:separator/>
      </w:r>
    </w:p>
  </w:footnote>
  <w:footnote w:type="continuationSeparator" w:id="0">
    <w:p w:rsidR="00657109" w:rsidRDefault="00657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796" w:rsidRDefault="00217DE8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-899160</wp:posOffset>
          </wp:positionH>
          <wp:positionV relativeFrom="page">
            <wp:posOffset>10795</wp:posOffset>
          </wp:positionV>
          <wp:extent cx="1800000" cy="1008000"/>
          <wp:effectExtent l="0" t="0" r="0" b="0"/>
          <wp:wrapNone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oztek-zlt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81796" w:rsidRDefault="0048179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44610"/>
    <w:multiLevelType w:val="hybridMultilevel"/>
    <w:tmpl w:val="17FEF1D0"/>
    <w:lvl w:ilvl="0" w:tplc="EAB4C16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27344B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E08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320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565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320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D8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167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4AA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D3130"/>
    <w:multiLevelType w:val="hybridMultilevel"/>
    <w:tmpl w:val="6566600C"/>
    <w:lvl w:ilvl="0" w:tplc="476EBAE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BADAE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865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8814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4C3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A84A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7AB1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F84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7838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F690D"/>
    <w:multiLevelType w:val="hybridMultilevel"/>
    <w:tmpl w:val="CD663F46"/>
    <w:lvl w:ilvl="0" w:tplc="F40AB6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02E1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0CF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EE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4A98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387A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C1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889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428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A37B6"/>
    <w:multiLevelType w:val="hybridMultilevel"/>
    <w:tmpl w:val="24621D28"/>
    <w:lvl w:ilvl="0" w:tplc="690C8BC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9900"/>
      </w:rPr>
    </w:lvl>
    <w:lvl w:ilvl="1" w:tplc="EF3C5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C480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9EBC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F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4E4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C4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0A48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12727"/>
    <w:multiLevelType w:val="hybridMultilevel"/>
    <w:tmpl w:val="E82461E8"/>
    <w:lvl w:ilvl="0" w:tplc="C4A6A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4367F08" w:tentative="1">
      <w:start w:val="1"/>
      <w:numFmt w:val="lowerLetter"/>
      <w:lvlText w:val="%2."/>
      <w:lvlJc w:val="left"/>
      <w:pPr>
        <w:ind w:left="1789" w:hanging="360"/>
      </w:pPr>
    </w:lvl>
    <w:lvl w:ilvl="2" w:tplc="F69C876E" w:tentative="1">
      <w:start w:val="1"/>
      <w:numFmt w:val="lowerRoman"/>
      <w:lvlText w:val="%3."/>
      <w:lvlJc w:val="right"/>
      <w:pPr>
        <w:ind w:left="2509" w:hanging="180"/>
      </w:pPr>
    </w:lvl>
    <w:lvl w:ilvl="3" w:tplc="12083B58" w:tentative="1">
      <w:start w:val="1"/>
      <w:numFmt w:val="decimal"/>
      <w:lvlText w:val="%4."/>
      <w:lvlJc w:val="left"/>
      <w:pPr>
        <w:ind w:left="3229" w:hanging="360"/>
      </w:pPr>
    </w:lvl>
    <w:lvl w:ilvl="4" w:tplc="00122478" w:tentative="1">
      <w:start w:val="1"/>
      <w:numFmt w:val="lowerLetter"/>
      <w:lvlText w:val="%5."/>
      <w:lvlJc w:val="left"/>
      <w:pPr>
        <w:ind w:left="3949" w:hanging="360"/>
      </w:pPr>
    </w:lvl>
    <w:lvl w:ilvl="5" w:tplc="76B2F77E" w:tentative="1">
      <w:start w:val="1"/>
      <w:numFmt w:val="lowerRoman"/>
      <w:lvlText w:val="%6."/>
      <w:lvlJc w:val="right"/>
      <w:pPr>
        <w:ind w:left="4669" w:hanging="180"/>
      </w:pPr>
    </w:lvl>
    <w:lvl w:ilvl="6" w:tplc="1F020A9E" w:tentative="1">
      <w:start w:val="1"/>
      <w:numFmt w:val="decimal"/>
      <w:lvlText w:val="%7."/>
      <w:lvlJc w:val="left"/>
      <w:pPr>
        <w:ind w:left="5389" w:hanging="360"/>
      </w:pPr>
    </w:lvl>
    <w:lvl w:ilvl="7" w:tplc="A19EDA96" w:tentative="1">
      <w:start w:val="1"/>
      <w:numFmt w:val="lowerLetter"/>
      <w:lvlText w:val="%8."/>
      <w:lvlJc w:val="left"/>
      <w:pPr>
        <w:ind w:left="6109" w:hanging="360"/>
      </w:pPr>
    </w:lvl>
    <w:lvl w:ilvl="8" w:tplc="5FF802E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460E7C"/>
    <w:multiLevelType w:val="hybridMultilevel"/>
    <w:tmpl w:val="BD5ABBA4"/>
    <w:lvl w:ilvl="0" w:tplc="AB7EB3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C45911" w:themeColor="accent2" w:themeShade="BF"/>
      </w:rPr>
    </w:lvl>
    <w:lvl w:ilvl="1" w:tplc="C3AAD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92B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27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3C90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42EA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C8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094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C012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E7CB4"/>
    <w:multiLevelType w:val="hybridMultilevel"/>
    <w:tmpl w:val="17B02F00"/>
    <w:lvl w:ilvl="0" w:tplc="CD4EB5D6">
      <w:start w:val="1"/>
      <w:numFmt w:val="decimal"/>
      <w:lvlText w:val="%1."/>
      <w:lvlJc w:val="left"/>
      <w:pPr>
        <w:ind w:left="360" w:hanging="360"/>
      </w:pPr>
    </w:lvl>
    <w:lvl w:ilvl="1" w:tplc="4F96A5E4" w:tentative="1">
      <w:start w:val="1"/>
      <w:numFmt w:val="lowerLetter"/>
      <w:lvlText w:val="%2."/>
      <w:lvlJc w:val="left"/>
      <w:pPr>
        <w:ind w:left="1080" w:hanging="360"/>
      </w:pPr>
    </w:lvl>
    <w:lvl w:ilvl="2" w:tplc="9D66FAC0" w:tentative="1">
      <w:start w:val="1"/>
      <w:numFmt w:val="lowerRoman"/>
      <w:lvlText w:val="%3."/>
      <w:lvlJc w:val="right"/>
      <w:pPr>
        <w:ind w:left="1800" w:hanging="180"/>
      </w:pPr>
    </w:lvl>
    <w:lvl w:ilvl="3" w:tplc="3ACE44AC" w:tentative="1">
      <w:start w:val="1"/>
      <w:numFmt w:val="decimal"/>
      <w:lvlText w:val="%4."/>
      <w:lvlJc w:val="left"/>
      <w:pPr>
        <w:ind w:left="2520" w:hanging="360"/>
      </w:pPr>
    </w:lvl>
    <w:lvl w:ilvl="4" w:tplc="D4240C7C" w:tentative="1">
      <w:start w:val="1"/>
      <w:numFmt w:val="lowerLetter"/>
      <w:lvlText w:val="%5."/>
      <w:lvlJc w:val="left"/>
      <w:pPr>
        <w:ind w:left="3240" w:hanging="360"/>
      </w:pPr>
    </w:lvl>
    <w:lvl w:ilvl="5" w:tplc="4F5E3D34" w:tentative="1">
      <w:start w:val="1"/>
      <w:numFmt w:val="lowerRoman"/>
      <w:lvlText w:val="%6."/>
      <w:lvlJc w:val="right"/>
      <w:pPr>
        <w:ind w:left="3960" w:hanging="180"/>
      </w:pPr>
    </w:lvl>
    <w:lvl w:ilvl="6" w:tplc="7096B76C" w:tentative="1">
      <w:start w:val="1"/>
      <w:numFmt w:val="decimal"/>
      <w:lvlText w:val="%7."/>
      <w:lvlJc w:val="left"/>
      <w:pPr>
        <w:ind w:left="4680" w:hanging="360"/>
      </w:pPr>
    </w:lvl>
    <w:lvl w:ilvl="7" w:tplc="4EE03D42" w:tentative="1">
      <w:start w:val="1"/>
      <w:numFmt w:val="lowerLetter"/>
      <w:lvlText w:val="%8."/>
      <w:lvlJc w:val="left"/>
      <w:pPr>
        <w:ind w:left="5400" w:hanging="360"/>
      </w:pPr>
    </w:lvl>
    <w:lvl w:ilvl="8" w:tplc="62EC916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4D730D"/>
    <w:multiLevelType w:val="hybridMultilevel"/>
    <w:tmpl w:val="066CC738"/>
    <w:lvl w:ilvl="0" w:tplc="901E5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C000" w:themeColor="accent4"/>
      </w:rPr>
    </w:lvl>
    <w:lvl w:ilvl="1" w:tplc="F222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890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B070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CE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2B5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AA2C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2C9C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564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504F6"/>
    <w:multiLevelType w:val="hybridMultilevel"/>
    <w:tmpl w:val="E3B2BDE6"/>
    <w:lvl w:ilvl="0" w:tplc="3FBEB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1DD4CE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C8D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C86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83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B23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05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E67A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0E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A5BCB"/>
    <w:multiLevelType w:val="hybridMultilevel"/>
    <w:tmpl w:val="6456C0BA"/>
    <w:lvl w:ilvl="0" w:tplc="1096C2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C000" w:themeColor="accent4"/>
      </w:rPr>
    </w:lvl>
    <w:lvl w:ilvl="1" w:tplc="3B5465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8AED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3A8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6F2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6433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E23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527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F00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2E2AD0"/>
    <w:multiLevelType w:val="hybridMultilevel"/>
    <w:tmpl w:val="6AE2E7C2"/>
    <w:lvl w:ilvl="0" w:tplc="39E0AB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9900"/>
      </w:rPr>
    </w:lvl>
    <w:lvl w:ilvl="1" w:tplc="73A88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765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2C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F8E9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A467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9861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128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A28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B832A9"/>
    <w:multiLevelType w:val="hybridMultilevel"/>
    <w:tmpl w:val="2C4CC692"/>
    <w:lvl w:ilvl="0" w:tplc="B120C656">
      <w:start w:val="1"/>
      <w:numFmt w:val="decimal"/>
      <w:lvlText w:val="%1."/>
      <w:lvlJc w:val="left"/>
      <w:pPr>
        <w:ind w:left="360" w:hanging="360"/>
      </w:pPr>
    </w:lvl>
    <w:lvl w:ilvl="1" w:tplc="735C2BC2" w:tentative="1">
      <w:start w:val="1"/>
      <w:numFmt w:val="lowerLetter"/>
      <w:lvlText w:val="%2."/>
      <w:lvlJc w:val="left"/>
      <w:pPr>
        <w:ind w:left="1080" w:hanging="360"/>
      </w:pPr>
    </w:lvl>
    <w:lvl w:ilvl="2" w:tplc="3252C570" w:tentative="1">
      <w:start w:val="1"/>
      <w:numFmt w:val="lowerRoman"/>
      <w:lvlText w:val="%3."/>
      <w:lvlJc w:val="right"/>
      <w:pPr>
        <w:ind w:left="1800" w:hanging="180"/>
      </w:pPr>
    </w:lvl>
    <w:lvl w:ilvl="3" w:tplc="FADEE3D6" w:tentative="1">
      <w:start w:val="1"/>
      <w:numFmt w:val="decimal"/>
      <w:lvlText w:val="%4."/>
      <w:lvlJc w:val="left"/>
      <w:pPr>
        <w:ind w:left="2520" w:hanging="360"/>
      </w:pPr>
    </w:lvl>
    <w:lvl w:ilvl="4" w:tplc="2FCAAEFA" w:tentative="1">
      <w:start w:val="1"/>
      <w:numFmt w:val="lowerLetter"/>
      <w:lvlText w:val="%5."/>
      <w:lvlJc w:val="left"/>
      <w:pPr>
        <w:ind w:left="3240" w:hanging="360"/>
      </w:pPr>
    </w:lvl>
    <w:lvl w:ilvl="5" w:tplc="62DE7A04" w:tentative="1">
      <w:start w:val="1"/>
      <w:numFmt w:val="lowerRoman"/>
      <w:lvlText w:val="%6."/>
      <w:lvlJc w:val="right"/>
      <w:pPr>
        <w:ind w:left="3960" w:hanging="180"/>
      </w:pPr>
    </w:lvl>
    <w:lvl w:ilvl="6" w:tplc="87EE21EC" w:tentative="1">
      <w:start w:val="1"/>
      <w:numFmt w:val="decimal"/>
      <w:lvlText w:val="%7."/>
      <w:lvlJc w:val="left"/>
      <w:pPr>
        <w:ind w:left="4680" w:hanging="360"/>
      </w:pPr>
    </w:lvl>
    <w:lvl w:ilvl="7" w:tplc="A990825A" w:tentative="1">
      <w:start w:val="1"/>
      <w:numFmt w:val="lowerLetter"/>
      <w:lvlText w:val="%8."/>
      <w:lvlJc w:val="left"/>
      <w:pPr>
        <w:ind w:left="5400" w:hanging="360"/>
      </w:pPr>
    </w:lvl>
    <w:lvl w:ilvl="8" w:tplc="40F2F7A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286B42"/>
    <w:multiLevelType w:val="hybridMultilevel"/>
    <w:tmpl w:val="17B02F00"/>
    <w:lvl w:ilvl="0" w:tplc="767E378A">
      <w:start w:val="1"/>
      <w:numFmt w:val="decimal"/>
      <w:lvlText w:val="%1."/>
      <w:lvlJc w:val="left"/>
      <w:pPr>
        <w:ind w:left="360" w:hanging="360"/>
      </w:pPr>
    </w:lvl>
    <w:lvl w:ilvl="1" w:tplc="150256A6" w:tentative="1">
      <w:start w:val="1"/>
      <w:numFmt w:val="lowerLetter"/>
      <w:lvlText w:val="%2."/>
      <w:lvlJc w:val="left"/>
      <w:pPr>
        <w:ind w:left="1080" w:hanging="360"/>
      </w:pPr>
    </w:lvl>
    <w:lvl w:ilvl="2" w:tplc="B994D16E" w:tentative="1">
      <w:start w:val="1"/>
      <w:numFmt w:val="lowerRoman"/>
      <w:lvlText w:val="%3."/>
      <w:lvlJc w:val="right"/>
      <w:pPr>
        <w:ind w:left="1800" w:hanging="180"/>
      </w:pPr>
    </w:lvl>
    <w:lvl w:ilvl="3" w:tplc="04CA321A" w:tentative="1">
      <w:start w:val="1"/>
      <w:numFmt w:val="decimal"/>
      <w:lvlText w:val="%4."/>
      <w:lvlJc w:val="left"/>
      <w:pPr>
        <w:ind w:left="2520" w:hanging="360"/>
      </w:pPr>
    </w:lvl>
    <w:lvl w:ilvl="4" w:tplc="5CE2CEE4" w:tentative="1">
      <w:start w:val="1"/>
      <w:numFmt w:val="lowerLetter"/>
      <w:lvlText w:val="%5."/>
      <w:lvlJc w:val="left"/>
      <w:pPr>
        <w:ind w:left="3240" w:hanging="360"/>
      </w:pPr>
    </w:lvl>
    <w:lvl w:ilvl="5" w:tplc="AABA56DE" w:tentative="1">
      <w:start w:val="1"/>
      <w:numFmt w:val="lowerRoman"/>
      <w:lvlText w:val="%6."/>
      <w:lvlJc w:val="right"/>
      <w:pPr>
        <w:ind w:left="3960" w:hanging="180"/>
      </w:pPr>
    </w:lvl>
    <w:lvl w:ilvl="6" w:tplc="093805A4" w:tentative="1">
      <w:start w:val="1"/>
      <w:numFmt w:val="decimal"/>
      <w:lvlText w:val="%7."/>
      <w:lvlJc w:val="left"/>
      <w:pPr>
        <w:ind w:left="4680" w:hanging="360"/>
      </w:pPr>
    </w:lvl>
    <w:lvl w:ilvl="7" w:tplc="D45A1A7A" w:tentative="1">
      <w:start w:val="1"/>
      <w:numFmt w:val="lowerLetter"/>
      <w:lvlText w:val="%8."/>
      <w:lvlJc w:val="left"/>
      <w:pPr>
        <w:ind w:left="5400" w:hanging="360"/>
      </w:pPr>
    </w:lvl>
    <w:lvl w:ilvl="8" w:tplc="1C6254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D2303E"/>
    <w:multiLevelType w:val="hybridMultilevel"/>
    <w:tmpl w:val="DCB24060"/>
    <w:lvl w:ilvl="0" w:tplc="351A8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DEE48C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2269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E44B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78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3A54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BE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B25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AEF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FE5332"/>
    <w:multiLevelType w:val="hybridMultilevel"/>
    <w:tmpl w:val="2C4CC692"/>
    <w:lvl w:ilvl="0" w:tplc="80907E36">
      <w:start w:val="1"/>
      <w:numFmt w:val="decimal"/>
      <w:lvlText w:val="%1."/>
      <w:lvlJc w:val="left"/>
      <w:pPr>
        <w:ind w:left="360" w:hanging="360"/>
      </w:pPr>
    </w:lvl>
    <w:lvl w:ilvl="1" w:tplc="7B62C902" w:tentative="1">
      <w:start w:val="1"/>
      <w:numFmt w:val="lowerLetter"/>
      <w:lvlText w:val="%2."/>
      <w:lvlJc w:val="left"/>
      <w:pPr>
        <w:ind w:left="1080" w:hanging="360"/>
      </w:pPr>
    </w:lvl>
    <w:lvl w:ilvl="2" w:tplc="00FC3AC2" w:tentative="1">
      <w:start w:val="1"/>
      <w:numFmt w:val="lowerRoman"/>
      <w:lvlText w:val="%3."/>
      <w:lvlJc w:val="right"/>
      <w:pPr>
        <w:ind w:left="1800" w:hanging="180"/>
      </w:pPr>
    </w:lvl>
    <w:lvl w:ilvl="3" w:tplc="83D4046A" w:tentative="1">
      <w:start w:val="1"/>
      <w:numFmt w:val="decimal"/>
      <w:lvlText w:val="%4."/>
      <w:lvlJc w:val="left"/>
      <w:pPr>
        <w:ind w:left="2520" w:hanging="360"/>
      </w:pPr>
    </w:lvl>
    <w:lvl w:ilvl="4" w:tplc="C2CA6084" w:tentative="1">
      <w:start w:val="1"/>
      <w:numFmt w:val="lowerLetter"/>
      <w:lvlText w:val="%5."/>
      <w:lvlJc w:val="left"/>
      <w:pPr>
        <w:ind w:left="3240" w:hanging="360"/>
      </w:pPr>
    </w:lvl>
    <w:lvl w:ilvl="5" w:tplc="087275BC" w:tentative="1">
      <w:start w:val="1"/>
      <w:numFmt w:val="lowerRoman"/>
      <w:lvlText w:val="%6."/>
      <w:lvlJc w:val="right"/>
      <w:pPr>
        <w:ind w:left="3960" w:hanging="180"/>
      </w:pPr>
    </w:lvl>
    <w:lvl w:ilvl="6" w:tplc="4CB2BEA6" w:tentative="1">
      <w:start w:val="1"/>
      <w:numFmt w:val="decimal"/>
      <w:lvlText w:val="%7."/>
      <w:lvlJc w:val="left"/>
      <w:pPr>
        <w:ind w:left="4680" w:hanging="360"/>
      </w:pPr>
    </w:lvl>
    <w:lvl w:ilvl="7" w:tplc="8C788102" w:tentative="1">
      <w:start w:val="1"/>
      <w:numFmt w:val="lowerLetter"/>
      <w:lvlText w:val="%8."/>
      <w:lvlJc w:val="left"/>
      <w:pPr>
        <w:ind w:left="5400" w:hanging="360"/>
      </w:pPr>
    </w:lvl>
    <w:lvl w:ilvl="8" w:tplc="C6C62E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7701A6"/>
    <w:multiLevelType w:val="hybridMultilevel"/>
    <w:tmpl w:val="FD0C3B6A"/>
    <w:lvl w:ilvl="0" w:tplc="1D5843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F66A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8627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F06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EA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2C3C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B0C1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D0B7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14"/>
  </w:num>
  <w:num w:numId="5">
    <w:abstractNumId w:val="2"/>
  </w:num>
  <w:num w:numId="6">
    <w:abstractNumId w:val="15"/>
  </w:num>
  <w:num w:numId="7">
    <w:abstractNumId w:val="8"/>
  </w:num>
  <w:num w:numId="8">
    <w:abstractNumId w:val="13"/>
  </w:num>
  <w:num w:numId="9">
    <w:abstractNumId w:val="1"/>
  </w:num>
  <w:num w:numId="10">
    <w:abstractNumId w:val="0"/>
  </w:num>
  <w:num w:numId="11">
    <w:abstractNumId w:val="7"/>
  </w:num>
  <w:num w:numId="12">
    <w:abstractNumId w:val="9"/>
  </w:num>
  <w:num w:numId="13">
    <w:abstractNumId w:val="5"/>
  </w:num>
  <w:num w:numId="14">
    <w:abstractNumId w:val="3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4BD"/>
    <w:rsid w:val="00025004"/>
    <w:rsid w:val="0003059A"/>
    <w:rsid w:val="00045275"/>
    <w:rsid w:val="0005039E"/>
    <w:rsid w:val="0007368D"/>
    <w:rsid w:val="00074E89"/>
    <w:rsid w:val="000F22FE"/>
    <w:rsid w:val="0010544D"/>
    <w:rsid w:val="00114ACE"/>
    <w:rsid w:val="00116524"/>
    <w:rsid w:val="00135B1F"/>
    <w:rsid w:val="00137EEB"/>
    <w:rsid w:val="00140C57"/>
    <w:rsid w:val="00144DCE"/>
    <w:rsid w:val="001901BC"/>
    <w:rsid w:val="0019063F"/>
    <w:rsid w:val="00192510"/>
    <w:rsid w:val="001A0A3B"/>
    <w:rsid w:val="001A4D27"/>
    <w:rsid w:val="001B2729"/>
    <w:rsid w:val="001C26FF"/>
    <w:rsid w:val="001E7DCE"/>
    <w:rsid w:val="00217DE8"/>
    <w:rsid w:val="00221BBF"/>
    <w:rsid w:val="00230F67"/>
    <w:rsid w:val="002322A9"/>
    <w:rsid w:val="00246997"/>
    <w:rsid w:val="002613A3"/>
    <w:rsid w:val="00264FD0"/>
    <w:rsid w:val="00274281"/>
    <w:rsid w:val="00277511"/>
    <w:rsid w:val="0028290A"/>
    <w:rsid w:val="00297442"/>
    <w:rsid w:val="00297803"/>
    <w:rsid w:val="002C5755"/>
    <w:rsid w:val="002D30DC"/>
    <w:rsid w:val="002D6F02"/>
    <w:rsid w:val="002F31AB"/>
    <w:rsid w:val="002F5F0C"/>
    <w:rsid w:val="003021B6"/>
    <w:rsid w:val="0033417E"/>
    <w:rsid w:val="00340132"/>
    <w:rsid w:val="003562C3"/>
    <w:rsid w:val="00360814"/>
    <w:rsid w:val="00360ED0"/>
    <w:rsid w:val="00392C0D"/>
    <w:rsid w:val="003C0B31"/>
    <w:rsid w:val="003D1EAE"/>
    <w:rsid w:val="003F1CDC"/>
    <w:rsid w:val="0040602C"/>
    <w:rsid w:val="004131B5"/>
    <w:rsid w:val="004340BC"/>
    <w:rsid w:val="004438AB"/>
    <w:rsid w:val="004452C9"/>
    <w:rsid w:val="00470888"/>
    <w:rsid w:val="0047121D"/>
    <w:rsid w:val="00473132"/>
    <w:rsid w:val="00481796"/>
    <w:rsid w:val="00482014"/>
    <w:rsid w:val="004A01F0"/>
    <w:rsid w:val="004A3FD1"/>
    <w:rsid w:val="004A5A69"/>
    <w:rsid w:val="004C7335"/>
    <w:rsid w:val="004D0302"/>
    <w:rsid w:val="004D0793"/>
    <w:rsid w:val="00507185"/>
    <w:rsid w:val="0050787F"/>
    <w:rsid w:val="005249C4"/>
    <w:rsid w:val="00535323"/>
    <w:rsid w:val="0053765E"/>
    <w:rsid w:val="00552DE8"/>
    <w:rsid w:val="00553016"/>
    <w:rsid w:val="00567A22"/>
    <w:rsid w:val="00572FFE"/>
    <w:rsid w:val="0059081D"/>
    <w:rsid w:val="005A2C12"/>
    <w:rsid w:val="005B14BD"/>
    <w:rsid w:val="005C0F22"/>
    <w:rsid w:val="005E3D80"/>
    <w:rsid w:val="005F134A"/>
    <w:rsid w:val="00611168"/>
    <w:rsid w:val="00612ABE"/>
    <w:rsid w:val="006374C1"/>
    <w:rsid w:val="00640824"/>
    <w:rsid w:val="00657109"/>
    <w:rsid w:val="00661FE2"/>
    <w:rsid w:val="00677D8C"/>
    <w:rsid w:val="00683A65"/>
    <w:rsid w:val="00691308"/>
    <w:rsid w:val="006A1436"/>
    <w:rsid w:val="006A29B3"/>
    <w:rsid w:val="006B1756"/>
    <w:rsid w:val="006C4389"/>
    <w:rsid w:val="006C6829"/>
    <w:rsid w:val="006C7B83"/>
    <w:rsid w:val="006D78E6"/>
    <w:rsid w:val="006E0AB3"/>
    <w:rsid w:val="006E582F"/>
    <w:rsid w:val="00707739"/>
    <w:rsid w:val="00727246"/>
    <w:rsid w:val="00755537"/>
    <w:rsid w:val="0076629D"/>
    <w:rsid w:val="007723EB"/>
    <w:rsid w:val="007728F4"/>
    <w:rsid w:val="00773C57"/>
    <w:rsid w:val="00775E4C"/>
    <w:rsid w:val="00776226"/>
    <w:rsid w:val="00781B4E"/>
    <w:rsid w:val="007A1E0F"/>
    <w:rsid w:val="007A38C5"/>
    <w:rsid w:val="007A7DC8"/>
    <w:rsid w:val="007C0261"/>
    <w:rsid w:val="007C7518"/>
    <w:rsid w:val="007E04A0"/>
    <w:rsid w:val="007E2DBC"/>
    <w:rsid w:val="007F1B9C"/>
    <w:rsid w:val="00804D89"/>
    <w:rsid w:val="00821CDD"/>
    <w:rsid w:val="008248AB"/>
    <w:rsid w:val="00830718"/>
    <w:rsid w:val="00833FEE"/>
    <w:rsid w:val="0085509A"/>
    <w:rsid w:val="00855448"/>
    <w:rsid w:val="008815A7"/>
    <w:rsid w:val="0088160A"/>
    <w:rsid w:val="0089296A"/>
    <w:rsid w:val="008A0700"/>
    <w:rsid w:val="008B3623"/>
    <w:rsid w:val="008B373C"/>
    <w:rsid w:val="008D2599"/>
    <w:rsid w:val="008F0606"/>
    <w:rsid w:val="009011C3"/>
    <w:rsid w:val="009206B8"/>
    <w:rsid w:val="00920C4E"/>
    <w:rsid w:val="00931910"/>
    <w:rsid w:val="00943F41"/>
    <w:rsid w:val="009621E9"/>
    <w:rsid w:val="00963851"/>
    <w:rsid w:val="00965BB9"/>
    <w:rsid w:val="00971256"/>
    <w:rsid w:val="00971B54"/>
    <w:rsid w:val="009A0EDA"/>
    <w:rsid w:val="009A405B"/>
    <w:rsid w:val="009A7F6E"/>
    <w:rsid w:val="009B2EB1"/>
    <w:rsid w:val="009C08AE"/>
    <w:rsid w:val="009C2150"/>
    <w:rsid w:val="009F11B3"/>
    <w:rsid w:val="00A00E15"/>
    <w:rsid w:val="00A02581"/>
    <w:rsid w:val="00A02C37"/>
    <w:rsid w:val="00A05E84"/>
    <w:rsid w:val="00A07FD2"/>
    <w:rsid w:val="00A41779"/>
    <w:rsid w:val="00A526CD"/>
    <w:rsid w:val="00A74E30"/>
    <w:rsid w:val="00A756F9"/>
    <w:rsid w:val="00A85639"/>
    <w:rsid w:val="00A91A12"/>
    <w:rsid w:val="00A935F8"/>
    <w:rsid w:val="00AC4F2A"/>
    <w:rsid w:val="00AC53BD"/>
    <w:rsid w:val="00AE4DC5"/>
    <w:rsid w:val="00B01F36"/>
    <w:rsid w:val="00B0738F"/>
    <w:rsid w:val="00B244A8"/>
    <w:rsid w:val="00B30F31"/>
    <w:rsid w:val="00B342DA"/>
    <w:rsid w:val="00B42C2F"/>
    <w:rsid w:val="00B43609"/>
    <w:rsid w:val="00B44F48"/>
    <w:rsid w:val="00B56021"/>
    <w:rsid w:val="00B73A5A"/>
    <w:rsid w:val="00B85420"/>
    <w:rsid w:val="00BA3394"/>
    <w:rsid w:val="00BC22DC"/>
    <w:rsid w:val="00BD0611"/>
    <w:rsid w:val="00BD0F9D"/>
    <w:rsid w:val="00BD64FE"/>
    <w:rsid w:val="00BE0915"/>
    <w:rsid w:val="00BE16C7"/>
    <w:rsid w:val="00BE308D"/>
    <w:rsid w:val="00C00AB9"/>
    <w:rsid w:val="00C01AA9"/>
    <w:rsid w:val="00C03CDB"/>
    <w:rsid w:val="00C1053F"/>
    <w:rsid w:val="00C113DB"/>
    <w:rsid w:val="00C14BC5"/>
    <w:rsid w:val="00C16C96"/>
    <w:rsid w:val="00C3557B"/>
    <w:rsid w:val="00C518F3"/>
    <w:rsid w:val="00C53136"/>
    <w:rsid w:val="00C71908"/>
    <w:rsid w:val="00C950A3"/>
    <w:rsid w:val="00CA01E1"/>
    <w:rsid w:val="00CA6A69"/>
    <w:rsid w:val="00CB5532"/>
    <w:rsid w:val="00CD0B8A"/>
    <w:rsid w:val="00CE3814"/>
    <w:rsid w:val="00CF352F"/>
    <w:rsid w:val="00D02968"/>
    <w:rsid w:val="00D043BF"/>
    <w:rsid w:val="00D05743"/>
    <w:rsid w:val="00D078A6"/>
    <w:rsid w:val="00D248E3"/>
    <w:rsid w:val="00D27B03"/>
    <w:rsid w:val="00D36613"/>
    <w:rsid w:val="00D500F0"/>
    <w:rsid w:val="00D505E9"/>
    <w:rsid w:val="00D558C6"/>
    <w:rsid w:val="00D85802"/>
    <w:rsid w:val="00DA031A"/>
    <w:rsid w:val="00DB51BD"/>
    <w:rsid w:val="00DD0896"/>
    <w:rsid w:val="00DD105F"/>
    <w:rsid w:val="00DD1A98"/>
    <w:rsid w:val="00DD3160"/>
    <w:rsid w:val="00DF5D99"/>
    <w:rsid w:val="00E02DFC"/>
    <w:rsid w:val="00E045FE"/>
    <w:rsid w:val="00E23ECF"/>
    <w:rsid w:val="00E36637"/>
    <w:rsid w:val="00E43303"/>
    <w:rsid w:val="00E434FC"/>
    <w:rsid w:val="00E700B1"/>
    <w:rsid w:val="00E76165"/>
    <w:rsid w:val="00EB1644"/>
    <w:rsid w:val="00EC1563"/>
    <w:rsid w:val="00EE04F6"/>
    <w:rsid w:val="00EE382C"/>
    <w:rsid w:val="00EE759B"/>
    <w:rsid w:val="00EF1A96"/>
    <w:rsid w:val="00F00F1D"/>
    <w:rsid w:val="00F052BE"/>
    <w:rsid w:val="00F1561C"/>
    <w:rsid w:val="00F43366"/>
    <w:rsid w:val="00F45BBA"/>
    <w:rsid w:val="00F61716"/>
    <w:rsid w:val="00F658B9"/>
    <w:rsid w:val="00F67C29"/>
    <w:rsid w:val="00F71C05"/>
    <w:rsid w:val="00F92E74"/>
    <w:rsid w:val="00F96772"/>
    <w:rsid w:val="00FD1960"/>
    <w:rsid w:val="00FF0B07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F441BA-D2FF-4A99-A553-20DF9E37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78E6"/>
  </w:style>
  <w:style w:type="paragraph" w:styleId="Nadpis2">
    <w:name w:val="heading 2"/>
    <w:basedOn w:val="Normlny"/>
    <w:link w:val="Nadpis2Char"/>
    <w:uiPriority w:val="9"/>
    <w:qFormat/>
    <w:rsid w:val="00264F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244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Zstupntext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3FD1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264FD0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264FD0"/>
    <w:rPr>
      <w:color w:val="0563C1" w:themeColor="hyperlink"/>
      <w:u w:val="single"/>
    </w:rPr>
  </w:style>
  <w:style w:type="paragraph" w:styleId="Bezriadkovania">
    <w:name w:val="No Spacing"/>
    <w:link w:val="BezriadkovaniaChar"/>
    <w:uiPriority w:val="1"/>
    <w:qFormat/>
    <w:rsid w:val="0088160A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8160A"/>
    <w:rPr>
      <w:rFonts w:eastAsiaTheme="minorEastAsia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97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978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9780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97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97803"/>
    <w:rPr>
      <w:b/>
      <w:bCs/>
      <w:sz w:val="20"/>
      <w:szCs w:val="20"/>
    </w:rPr>
  </w:style>
  <w:style w:type="paragraph" w:styleId="Normlnywebov">
    <w:name w:val="Normal (Web)"/>
    <w:basedOn w:val="Normlny"/>
    <w:uiPriority w:val="99"/>
    <w:unhideWhenUsed/>
    <w:rsid w:val="0082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B244A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EDCB2-DF8B-4233-BBBD-31491235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907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Komponenty metodického listu pre učiteľky a učiteľov</vt:lpstr>
      <vt:lpstr/>
    </vt:vector>
  </TitlesOfParts>
  <Company>Hewlett-Packard Company</Company>
  <LinksUpToDate>false</LinksUpToDate>
  <CharactersWithSpaces>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Komponenty metodického listu pre učiteľky a učiteľov</dc:title>
  <dc:creator>JM</dc:creator>
  <cp:lastModifiedBy>Peter</cp:lastModifiedBy>
  <cp:revision>3</cp:revision>
  <cp:lastPrinted>2019-06-28T09:23:00Z</cp:lastPrinted>
  <dcterms:created xsi:type="dcterms:W3CDTF">2021-10-12T09:42:00Z</dcterms:created>
  <dcterms:modified xsi:type="dcterms:W3CDTF">2021-10-12T12:44:00Z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etDate">
    <vt:lpwstr>2021-08-09T07:49:11Z</vt:lpwstr>
  </property>
  <property fmtid="{D5CDD505-2E9C-101B-9397-08002B2CF9AE}" pid="4" name="MSIP_Label_38939b85-7e40-4a1d-91e1-0e84c3b219d7_Method">
    <vt:lpwstr>Standard</vt:lpwstr>
  </property>
  <property fmtid="{D5CDD505-2E9C-101B-9397-08002B2CF9AE}" pid="5" name="MSIP_Label_38939b85-7e40-4a1d-91e1-0e84c3b219d7_Name">
    <vt:lpwstr>38939b85-7e40-4a1d-91e1-0e84c3b219d7</vt:lpwstr>
  </property>
  <property fmtid="{D5CDD505-2E9C-101B-9397-08002B2CF9AE}" pid="6" name="MSIP_Label_38939b85-7e40-4a1d-91e1-0e84c3b219d7_SiteId">
    <vt:lpwstr>3ad0376a-54d3-49a6-9e20-52de0a92fc89</vt:lpwstr>
  </property>
  <property fmtid="{D5CDD505-2E9C-101B-9397-08002B2CF9AE}" pid="7" name="MSIP_Label_38939b85-7e40-4a1d-91e1-0e84c3b219d7_ActionId">
    <vt:lpwstr>a97808d9-6a0f-4c6d-863e-4e6232a920a7</vt:lpwstr>
  </property>
  <property fmtid="{D5CDD505-2E9C-101B-9397-08002B2CF9AE}" pid="8" name="MSIP_Label_38939b85-7e40-4a1d-91e1-0e84c3b219d7_ContentBits">
    <vt:lpwstr>0</vt:lpwstr>
  </property>
</Properties>
</file>